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b/>
          <w:bCs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  <w:t xml:space="preserve">ОДОБРЕНЫ</w:t>
      </w:r>
      <w:r>
        <w:rPr>
          <w:b/>
          <w:sz w:val="28"/>
          <w:szCs w:val="28"/>
          <w:highlight w:val="yellow"/>
        </w:rPr>
        <w:t xml:space="preserve"> 1 июля</w:t>
      </w:r>
      <w:r>
        <w:rPr>
          <w:b/>
          <w:sz w:val="28"/>
          <w:szCs w:val="28"/>
          <w:highlight w:val="yellow"/>
        </w:rPr>
        <w:t xml:space="preserve"> 2026 года</w:t>
      </w:r>
      <w:r>
        <w:rPr>
          <w:b/>
          <w:bCs/>
          <w:sz w:val="28"/>
          <w:szCs w:val="28"/>
          <w:highlight w:val="yellow"/>
        </w:rPr>
      </w:r>
      <w:r>
        <w:rPr>
          <w:b/>
          <w:bCs/>
          <w:sz w:val="28"/>
          <w:szCs w:val="28"/>
          <w:highlight w:val="yellow"/>
        </w:rPr>
      </w:r>
    </w:p>
    <w:p>
      <w:pPr>
        <w:jc w:val="center"/>
        <w:rPr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rPr>
          <w:b/>
          <w:bCs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МЕТОДИЧЕСКИЕ РЕКОМЕНДАЦИИ</w:t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jc w:val="center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 xml:space="preserve">по разработке административного регламента по предоставлению муниципальной услуги </w:t>
      </w:r>
      <w:r>
        <w:rPr>
          <w:b/>
          <w:bCs/>
          <w:sz w:val="28"/>
          <w:szCs w:val="28"/>
          <w:highlight w:val="white"/>
        </w:rPr>
        <w:t xml:space="preserve">«</w:t>
      </w:r>
      <w:r>
        <w:rPr>
          <w:b/>
          <w:bCs/>
          <w:sz w:val="28"/>
          <w:szCs w:val="28"/>
          <w:highlight w:val="white"/>
        </w:rPr>
        <w:t xml:space="preserve">Признание </w:t>
      </w:r>
      <w:r>
        <w:rPr>
          <w:b/>
          <w:bCs/>
          <w:sz w:val="28"/>
          <w:szCs w:val="28"/>
          <w:highlight w:val="white"/>
        </w:rPr>
        <w:t xml:space="preserve">помещения жилым помещением, жилого помещения непригодным для проживания, многоквартирного дома аварийным и подлежащим сносу или реконструкции</w:t>
      </w:r>
      <w:r>
        <w:rPr>
          <w:b/>
          <w:bCs/>
          <w:sz w:val="28"/>
          <w:szCs w:val="28"/>
          <w:highlight w:val="white"/>
        </w:rPr>
        <w:t xml:space="preserve">»</w:t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jc w:val="center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(Сокращенное наименование: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«Признание </w:t>
      </w:r>
      <w:r>
        <w:rPr>
          <w:sz w:val="28"/>
          <w:szCs w:val="28"/>
          <w:highlight w:val="white"/>
        </w:rPr>
        <w:t xml:space="preserve">помещения жилым помещением, </w:t>
      </w:r>
      <w:r>
        <w:rPr>
          <w:bCs/>
          <w:sz w:val="28"/>
          <w:szCs w:val="28"/>
          <w:highlight w:val="white"/>
        </w:rPr>
        <w:t xml:space="preserve">жилого помещения непригодным для проживания, многоквартирного дома аварийным и подлежащим сносу или реконструкции</w:t>
      </w:r>
      <w:r>
        <w:rPr>
          <w:sz w:val="28"/>
          <w:szCs w:val="28"/>
          <w:highlight w:val="white"/>
        </w:rPr>
        <w:t xml:space="preserve">»)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rPr>
          <w:bCs/>
          <w:sz w:val="28"/>
          <w:szCs w:val="28"/>
          <w:highlight w:val="white"/>
        </w:rPr>
      </w:pPr>
      <w:r>
        <w:rPr>
          <w:highlight w:val="white"/>
        </w:rPr>
      </w:r>
      <w:bookmarkStart w:id="0" w:name="sub_1001"/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pStyle w:val="997"/>
        <w:numPr>
          <w:ilvl w:val="0"/>
          <w:numId w:val="34"/>
        </w:numPr>
        <w:ind w:left="0" w:firstLine="709"/>
        <w:jc w:val="center"/>
        <w:spacing w:after="0" w:line="240" w:lineRule="auto"/>
        <w:widowControl w:val="off"/>
        <w:tabs>
          <w:tab w:val="left" w:pos="142" w:leader="none"/>
          <w:tab w:val="left" w:pos="284" w:leader="none"/>
          <w:tab w:val="left" w:pos="1134" w:leader="none"/>
        </w:tabs>
        <w:rPr>
          <w:rFonts w:ascii="Times New Roman" w:hAnsi="Times New Roman"/>
          <w:b/>
          <w:bCs/>
          <w:sz w:val="28"/>
          <w:szCs w:val="28"/>
          <w:highlight w:val="white"/>
        </w:rPr>
        <w:outlineLvl w:val="0"/>
      </w:pPr>
      <w:r>
        <w:rPr>
          <w:rFonts w:ascii="Times New Roman" w:hAnsi="Times New Roman"/>
          <w:b/>
          <w:bCs/>
          <w:sz w:val="28"/>
          <w:szCs w:val="28"/>
          <w:highlight w:val="white"/>
        </w:rPr>
        <w:t xml:space="preserve">Общие положения</w:t>
      </w:r>
      <w:bookmarkEnd w:id="0"/>
      <w:r>
        <w:rPr>
          <w:rFonts w:ascii="Times New Roman" w:hAnsi="Times New Roman"/>
          <w:b/>
          <w:bCs/>
          <w:sz w:val="28"/>
          <w:szCs w:val="28"/>
          <w:highlight w:val="white"/>
        </w:rPr>
      </w:r>
      <w:r>
        <w:rPr>
          <w:rFonts w:ascii="Times New Roman" w:hAnsi="Times New Roman"/>
          <w:b/>
          <w:bCs/>
          <w:sz w:val="28"/>
          <w:szCs w:val="28"/>
          <w:highlight w:val="white"/>
        </w:rPr>
      </w:r>
    </w:p>
    <w:p>
      <w:pPr>
        <w:ind w:left="-284" w:firstLine="851"/>
        <w:jc w:val="both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1003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highlight w:val="white"/>
          <w:u w:val="single"/>
        </w:rPr>
      </w:pPr>
      <w:r>
        <w:rPr>
          <w:rFonts w:ascii="Times New Roman" w:hAnsi="Times New Roman" w:cs="Times New Roman"/>
          <w:sz w:val="28"/>
          <w:highlight w:val="white"/>
          <w:u w:val="single"/>
        </w:rPr>
        <w:t xml:space="preserve">1.1. Предмет регулирования.</w:t>
      </w:r>
      <w:r>
        <w:rPr>
          <w:rFonts w:ascii="Times New Roman" w:hAnsi="Times New Roman" w:cs="Times New Roman"/>
          <w:sz w:val="28"/>
          <w:szCs w:val="28"/>
          <w:highlight w:val="white"/>
          <w:u w:val="single"/>
        </w:rPr>
      </w:r>
      <w:r>
        <w:rPr>
          <w:rFonts w:ascii="Times New Roman" w:hAnsi="Times New Roman" w:cs="Times New Roman"/>
          <w:sz w:val="28"/>
          <w:szCs w:val="28"/>
          <w:highlight w:val="white"/>
          <w:u w:val="single"/>
        </w:rPr>
      </w:r>
    </w:p>
    <w:p>
      <w:pPr>
        <w:pStyle w:val="1003"/>
        <w:ind w:left="0" w:right="0" w:firstLine="709"/>
        <w:jc w:val="both"/>
        <w:spacing w:before="0" w:after="0" w:line="240" w:lineRule="auto"/>
        <w:rPr>
          <w:highlight w:val="white"/>
        </w:rPr>
      </w:pPr>
      <w:r>
        <w:rPr>
          <w:rFonts w:ascii="Times New Roman" w:hAnsi="Times New Roman" w:cs="Times New Roman"/>
          <w:sz w:val="28"/>
          <w:highlight w:val="white"/>
          <w:u w:val="single"/>
        </w:rPr>
      </w:r>
      <w:bookmarkStart w:id="1" w:name="sub_1011"/>
      <w:r>
        <w:rPr>
          <w:rFonts w:ascii="Times New Roman" w:hAnsi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sz w:val="28"/>
          <w:szCs w:val="28"/>
          <w:highlight w:val="white"/>
        </w:rPr>
        <w:t xml:space="preserve">Настоящий административный регламент предоставления муниципальной услуги </w:t>
      </w:r>
      <w:r>
        <w:rPr>
          <w:rFonts w:ascii="Times New Roman" w:hAnsi="Times New Roman"/>
          <w:sz w:val="28"/>
          <w:szCs w:val="28"/>
          <w:highlight w:val="white"/>
        </w:rPr>
        <w:t xml:space="preserve">«</w:t>
      </w:r>
      <w:r>
        <w:rPr>
          <w:rFonts w:ascii="Times New Roman" w:hAnsi="Times New Roman"/>
          <w:sz w:val="28"/>
          <w:szCs w:val="28"/>
          <w:highlight w:val="white"/>
        </w:rPr>
        <w:t xml:space="preserve">П</w:t>
      </w:r>
      <w:r>
        <w:rPr>
          <w:rFonts w:ascii="Times New Roman" w:hAnsi="Times New Roman"/>
          <w:sz w:val="28"/>
          <w:szCs w:val="28"/>
          <w:highlight w:val="white"/>
        </w:rPr>
        <w:t xml:space="preserve">ризнани</w:t>
      </w:r>
      <w:r>
        <w:rPr>
          <w:rFonts w:ascii="Times New Roman" w:hAnsi="Times New Roman"/>
          <w:sz w:val="28"/>
          <w:szCs w:val="28"/>
          <w:highlight w:val="white"/>
        </w:rPr>
        <w:t xml:space="preserve">е</w:t>
      </w:r>
      <w:r>
        <w:rPr>
          <w:rFonts w:ascii="Times New Roman" w:hAnsi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sz w:val="28"/>
          <w:szCs w:val="28"/>
          <w:highlight w:val="white"/>
        </w:rPr>
        <w:t xml:space="preserve">помещения жилым помещением, жилого помещения непригодным для проживания, многоквартирного дома аварийным и по</w:t>
      </w:r>
      <w:r>
        <w:rPr>
          <w:rFonts w:ascii="Times New Roman" w:hAnsi="Times New Roman"/>
          <w:sz w:val="28"/>
          <w:szCs w:val="28"/>
          <w:highlight w:val="white"/>
        </w:rPr>
        <w:t xml:space="preserve">длежащим сносу или реконструкции» </w:t>
      </w:r>
      <w:r>
        <w:rPr>
          <w:rFonts w:ascii="Times New Roman" w:hAnsi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sz w:val="28"/>
          <w:szCs w:val="28"/>
          <w:highlight w:val="white"/>
        </w:rPr>
        <w:t xml:space="preserve">(далее - административный регламент, муниципальная услуга</w:t>
      </w:r>
      <w:r>
        <w:rPr>
          <w:rFonts w:ascii="Times New Roman" w:hAnsi="Times New Roman"/>
          <w:sz w:val="28"/>
          <w:szCs w:val="28"/>
          <w:highlight w:val="white"/>
        </w:rPr>
        <w:t xml:space="preserve"> соответственно</w:t>
      </w:r>
      <w:r>
        <w:rPr>
          <w:rFonts w:ascii="Times New Roman" w:hAnsi="Times New Roman"/>
          <w:sz w:val="28"/>
          <w:szCs w:val="28"/>
          <w:highlight w:val="white"/>
        </w:rPr>
        <w:t xml:space="preserve">) определяет порядок, стандарт и сроки предоставлени</w:t>
      </w:r>
      <w:r>
        <w:rPr>
          <w:rFonts w:ascii="Times New Roman" w:hAnsi="Times New Roman"/>
          <w:sz w:val="28"/>
          <w:szCs w:val="28"/>
          <w:highlight w:val="white"/>
        </w:rPr>
        <w:t xml:space="preserve">я</w:t>
      </w:r>
      <w:r>
        <w:rPr>
          <w:rFonts w:ascii="Times New Roman" w:hAnsi="Times New Roman"/>
          <w:sz w:val="28"/>
          <w:szCs w:val="28"/>
          <w:highlight w:val="white"/>
        </w:rPr>
        <w:t xml:space="preserve"> муниципальной услуги.</w:t>
      </w:r>
      <w:r>
        <w:rPr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  <w:tab w:val="left" w:pos="1134" w:leader="none"/>
        </w:tabs>
        <w:rPr>
          <w:rFonts w:eastAsiaTheme="minorHAnsi"/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  <w:lang w:eastAsia="en-US"/>
        </w:rPr>
      </w:r>
      <w:r>
        <w:rPr>
          <w:rFonts w:eastAsiaTheme="minorHAnsi"/>
          <w:sz w:val="28"/>
          <w:szCs w:val="28"/>
          <w:highlight w:val="white"/>
          <w:lang w:eastAsia="en-US"/>
        </w:rPr>
      </w:r>
      <w:r>
        <w:rPr>
          <w:rFonts w:eastAsiaTheme="minorHAnsi"/>
          <w:sz w:val="28"/>
          <w:szCs w:val="28"/>
          <w:highlight w:val="white"/>
        </w:rPr>
      </w:r>
    </w:p>
    <w:p>
      <w:pPr>
        <w:pStyle w:val="1003"/>
        <w:ind w:left="0" w:right="0" w:firstLine="709"/>
        <w:jc w:val="both"/>
        <w:spacing w:before="0" w:after="0" w:line="240" w:lineRule="auto"/>
        <w:rPr>
          <w:highlight w:val="white"/>
        </w:rPr>
      </w:pPr>
      <w:r>
        <w:rPr>
          <w:rFonts w:ascii="Times New Roman" w:hAnsi="Times New Roman" w:cs="Times New Roman"/>
          <w:sz w:val="28"/>
          <w:highlight w:val="white"/>
          <w:u w:val="single"/>
        </w:rPr>
      </w:r>
      <w:r>
        <w:rPr>
          <w:rFonts w:ascii="Times New Roman" w:hAnsi="Times New Roman" w:cs="Times New Roman"/>
          <w:sz w:val="28"/>
          <w:highlight w:val="white"/>
          <w:u w:val="single"/>
        </w:rPr>
        <w:t xml:space="preserve">1.2. Круг заявителей.</w:t>
      </w:r>
      <w:r>
        <w:rPr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  <w:tab w:val="left" w:pos="113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  <w:t xml:space="preserve">Заявителями, имеющими право на получение </w:t>
      </w:r>
      <w:r>
        <w:rPr>
          <w:sz w:val="28"/>
          <w:szCs w:val="28"/>
          <w:highlight w:val="white"/>
        </w:rPr>
        <w:t xml:space="preserve">муниципальной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услуги, являются: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  <w:tab w:val="left" w:pos="113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- физические </w:t>
      </w:r>
      <w:r>
        <w:rPr>
          <w:sz w:val="28"/>
          <w:szCs w:val="28"/>
          <w:highlight w:val="white"/>
        </w:rPr>
        <w:t xml:space="preserve">лица, </w:t>
      </w:r>
      <w:r>
        <w:rPr>
          <w:sz w:val="28"/>
          <w:szCs w:val="28"/>
          <w:highlight w:val="white"/>
        </w:rPr>
        <w:t xml:space="preserve">юридические</w:t>
      </w:r>
      <w:r>
        <w:rPr>
          <w:sz w:val="28"/>
          <w:szCs w:val="28"/>
          <w:highlight w:val="white"/>
        </w:rPr>
        <w:t xml:space="preserve"> лица </w:t>
      </w:r>
      <w:r>
        <w:rPr>
          <w:sz w:val="28"/>
          <w:szCs w:val="28"/>
          <w:highlight w:val="white"/>
        </w:rPr>
        <w:t xml:space="preserve">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</w:t>
      </w:r>
      <w:r>
        <w:rPr>
          <w:sz w:val="28"/>
          <w:szCs w:val="28"/>
          <w:highlight w:val="white"/>
        </w:rPr>
        <w:t xml:space="preserve">,</w:t>
      </w:r>
      <w:r>
        <w:rPr>
          <w:sz w:val="28"/>
          <w:szCs w:val="28"/>
          <w:highlight w:val="white"/>
        </w:rPr>
        <w:t xml:space="preserve"> являющиеся собственниками (нанимателями) жилых помещений в домах, расположенных на территории соответствующего района муниципального образования, либо их уполномоченные представители (далее </w:t>
      </w:r>
      <w:r>
        <w:rPr>
          <w:sz w:val="28"/>
          <w:szCs w:val="28"/>
          <w:highlight w:val="white"/>
        </w:rPr>
        <w:t xml:space="preserve">– </w:t>
      </w:r>
      <w:r>
        <w:rPr>
          <w:sz w:val="28"/>
          <w:szCs w:val="28"/>
          <w:highlight w:val="white"/>
        </w:rPr>
        <w:t xml:space="preserve">заявитель)</w:t>
      </w:r>
      <w:bookmarkEnd w:id="1"/>
      <w:r>
        <w:rPr>
          <w:sz w:val="28"/>
          <w:szCs w:val="28"/>
          <w:highlight w:val="white"/>
        </w:rPr>
        <w:t xml:space="preserve">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tabs>
          <w:tab w:val="left" w:pos="1134" w:leader="none"/>
        </w:tabs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</w:rPr>
        <w:t xml:space="preserve">Представлять интересы заявителя имеют право:</w:t>
      </w: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ind w:firstLine="709"/>
        <w:jc w:val="both"/>
        <w:tabs>
          <w:tab w:val="left" w:pos="1134" w:leader="none"/>
        </w:tabs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</w:rPr>
        <w:t xml:space="preserve">- от имени физических лиц:</w:t>
      </w: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представители, действующие в силу полномочий, основанных </w:t>
      </w:r>
      <w:r>
        <w:rPr>
          <w:sz w:val="28"/>
          <w:szCs w:val="28"/>
          <w:highlight w:val="white"/>
        </w:rPr>
        <w:br/>
        <w:t xml:space="preserve">на доверенности;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</w:rPr>
        <w:t xml:space="preserve">опекуны недееспособных граждан;</w:t>
      </w: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ind w:firstLine="709"/>
        <w:jc w:val="both"/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</w:rPr>
        <w:t xml:space="preserve">законные представители (родители, усыновители, опекуны) несовершеннолетних в возрасте до 14 лет.</w:t>
      </w: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ind w:firstLine="709"/>
        <w:jc w:val="both"/>
        <w:tabs>
          <w:tab w:val="left" w:pos="1134" w:leader="none"/>
        </w:tabs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  <w:highlight w:val="white"/>
        </w:rPr>
        <w:t xml:space="preserve">-</w:t>
      </w:r>
      <w:r>
        <w:rPr>
          <w:rFonts w:eastAsia="Calibri"/>
          <w:sz w:val="28"/>
          <w:szCs w:val="28"/>
          <w:highlight w:val="white"/>
        </w:rPr>
        <w:t xml:space="preserve"> от имени юридических лиц:</w:t>
      </w: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pStyle w:val="981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представители, действующие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соответствии с законом или учредительными документами от имени заявителя без доверенности;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81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представители, действующие от имени заявителя в силу полномочий </w:t>
      </w:r>
      <w:r>
        <w:rPr>
          <w:rFonts w:ascii="Times New Roman" w:hAnsi="Times New Roman" w:cs="Times New Roman"/>
          <w:sz w:val="28"/>
          <w:szCs w:val="28"/>
          <w:highlight w:val="white"/>
        </w:rPr>
        <w:br/>
        <w:t xml:space="preserve">на основании доверенности или договора.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81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Calibri" w:cs="Times New Roman"/>
          <w:sz w:val="28"/>
          <w:szCs w:val="28"/>
          <w:highlight w:val="white"/>
        </w:rPr>
        <w:t xml:space="preserve">В качестве уполномоченного представителя заявителя может быть лицо, указанное в части 2 статьи 5 Федерального закона от 27.07.2010 № 210-ФЗ «Об организации предоставления государственных и муниципальных услуг».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97"/>
        <w:ind w:left="0" w:firstLine="709"/>
        <w:jc w:val="both"/>
        <w:spacing w:after="0" w:line="240" w:lineRule="auto"/>
        <w:widowControl w:val="off"/>
        <w:tabs>
          <w:tab w:val="left" w:pos="142" w:leader="none"/>
          <w:tab w:val="left" w:pos="284" w:leader="none"/>
        </w:tabs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pStyle w:val="997"/>
        <w:ind w:left="0" w:firstLine="709"/>
        <w:jc w:val="both"/>
        <w:spacing w:after="0" w:line="240" w:lineRule="auto"/>
        <w:widowControl w:val="off"/>
        <w:tabs>
          <w:tab w:val="left" w:pos="142" w:leader="none"/>
          <w:tab w:val="left" w:pos="284" w:leader="none"/>
        </w:tabs>
        <w:rPr>
          <w:rFonts w:ascii="Times New Roman" w:hAnsi="Times New Roman"/>
          <w:sz w:val="28"/>
          <w:szCs w:val="28"/>
          <w:highlight w:val="white"/>
        </w:rPr>
      </w:pPr>
      <w:r>
        <w:rPr>
          <w:highlight w:val="white"/>
        </w:rPr>
      </w:r>
      <w:bookmarkStart w:id="2" w:name="sub_1002"/>
      <w:r>
        <w:rPr>
          <w:rFonts w:ascii="Times New Roman" w:hAnsi="Times New Roman"/>
          <w:sz w:val="28"/>
          <w:szCs w:val="28"/>
          <w:highlight w:val="white"/>
        </w:rPr>
        <w:t xml:space="preserve">1.3</w:t>
      </w:r>
      <w:r>
        <w:rPr>
          <w:rFonts w:ascii="Times New Roman" w:hAnsi="Times New Roman"/>
          <w:sz w:val="28"/>
          <w:szCs w:val="28"/>
          <w:highlight w:val="white"/>
        </w:rPr>
        <w:t xml:space="preserve">. </w:t>
      </w:r>
      <w:r>
        <w:rPr>
          <w:rFonts w:ascii="Times New Roman" w:hAnsi="Times New Roman"/>
          <w:sz w:val="28"/>
          <w:szCs w:val="28"/>
          <w:highlight w:val="white"/>
        </w:rPr>
        <w:t xml:space="preserve">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</w:t>
      </w:r>
      <w:r>
        <w:rPr>
          <w:rFonts w:ascii="Times New Roman" w:hAnsi="Times New Roman"/>
          <w:sz w:val="28"/>
          <w:szCs w:val="28"/>
          <w:highlight w:val="white"/>
        </w:rPr>
        <w:t xml:space="preserve">ионной системе «Федеральный реестр государственных и муниципальных услуг (функций)» (далее – реестр услуг) и в федеральной государственной информационной системе «Единый портал государственных и муниципальных услуг (функций)» (далее – Единый портал, ЕПГУ).</w:t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rPr>
          <w:rFonts w:eastAsia="Calibri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  <w:r>
        <w:rPr>
          <w:rFonts w:eastAsia="Calibri"/>
          <w:sz w:val="28"/>
          <w:szCs w:val="28"/>
          <w:highlight w:val="white"/>
        </w:rPr>
      </w:r>
    </w:p>
    <w:p>
      <w:pPr>
        <w:pStyle w:val="997"/>
        <w:ind w:left="0" w:firstLine="709"/>
        <w:jc w:val="both"/>
        <w:spacing w:after="0" w:line="240" w:lineRule="auto"/>
        <w:widowControl w:val="off"/>
        <w:tabs>
          <w:tab w:val="left" w:pos="142" w:leader="none"/>
          <w:tab w:val="left" w:pos="284" w:leader="none"/>
          <w:tab w:val="left" w:pos="1134" w:leader="none"/>
        </w:tabs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pStyle w:val="997"/>
        <w:numPr>
          <w:ilvl w:val="0"/>
          <w:numId w:val="34"/>
        </w:numPr>
        <w:ind w:left="0" w:firstLine="709"/>
        <w:jc w:val="center"/>
        <w:spacing w:after="0" w:line="240" w:lineRule="auto"/>
        <w:widowControl w:val="off"/>
        <w:tabs>
          <w:tab w:val="left" w:pos="142" w:leader="none"/>
          <w:tab w:val="left" w:pos="284" w:leader="none"/>
          <w:tab w:val="left" w:pos="1134" w:leader="none"/>
        </w:tabs>
        <w:rPr>
          <w:rFonts w:ascii="Times New Roman" w:hAnsi="Times New Roman"/>
          <w:b/>
          <w:bCs/>
          <w:sz w:val="28"/>
          <w:szCs w:val="28"/>
          <w:highlight w:val="white"/>
        </w:rPr>
        <w:outlineLvl w:val="0"/>
      </w:pPr>
      <w:r>
        <w:rPr>
          <w:rFonts w:ascii="Times New Roman" w:hAnsi="Times New Roman"/>
          <w:b/>
          <w:bCs/>
          <w:sz w:val="28"/>
          <w:szCs w:val="28"/>
          <w:highlight w:val="white"/>
        </w:rPr>
        <w:t xml:space="preserve">Стандарт предоставления муниципальной услуги</w:t>
      </w:r>
      <w:bookmarkEnd w:id="2"/>
      <w:r>
        <w:rPr>
          <w:rFonts w:ascii="Times New Roman" w:hAnsi="Times New Roman"/>
          <w:b/>
          <w:bCs/>
          <w:sz w:val="28"/>
          <w:szCs w:val="28"/>
          <w:highlight w:val="white"/>
        </w:rPr>
      </w:r>
      <w:r>
        <w:rPr>
          <w:rFonts w:ascii="Times New Roman" w:hAnsi="Times New Roman"/>
          <w:b/>
          <w:bCs/>
          <w:sz w:val="28"/>
          <w:szCs w:val="28"/>
          <w:highlight w:val="white"/>
        </w:rPr>
      </w:r>
    </w:p>
    <w:p>
      <w:pPr>
        <w:pStyle w:val="997"/>
        <w:ind w:left="0" w:firstLine="709"/>
        <w:jc w:val="both"/>
        <w:spacing w:after="0" w:line="240" w:lineRule="auto"/>
        <w:widowControl w:val="off"/>
        <w:tabs>
          <w:tab w:val="left" w:pos="142" w:leader="none"/>
          <w:tab w:val="left" w:pos="284" w:leader="none"/>
          <w:tab w:val="left" w:pos="1134" w:leader="none"/>
        </w:tabs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highlight w:val="white"/>
        </w:rPr>
      </w:r>
      <w:bookmarkStart w:id="3" w:name="sub_1021"/>
      <w:r>
        <w:rPr>
          <w:sz w:val="28"/>
          <w:szCs w:val="28"/>
          <w:highlight w:val="white"/>
          <w:u w:val="single"/>
        </w:rPr>
        <w:t xml:space="preserve">2.1. </w:t>
      </w:r>
      <w:r>
        <w:rPr>
          <w:sz w:val="28"/>
          <w:szCs w:val="28"/>
          <w:highlight w:val="white"/>
          <w:u w:val="single"/>
        </w:rPr>
        <w:t xml:space="preserve">Н</w:t>
      </w:r>
      <w:r>
        <w:rPr>
          <w:sz w:val="28"/>
          <w:szCs w:val="28"/>
          <w:highlight w:val="white"/>
          <w:u w:val="single"/>
        </w:rPr>
        <w:t xml:space="preserve">аи</w:t>
      </w:r>
      <w:r>
        <w:rPr>
          <w:sz w:val="28"/>
          <w:szCs w:val="28"/>
          <w:highlight w:val="white"/>
          <w:u w:val="single"/>
        </w:rPr>
        <w:t xml:space="preserve">менование муниципальной услуги: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</w:t>
      </w:r>
      <w:r>
        <w:rPr>
          <w:sz w:val="28"/>
          <w:szCs w:val="28"/>
          <w:highlight w:val="white"/>
        </w:rPr>
        <w:t xml:space="preserve">ризнание </w:t>
      </w:r>
      <w:r>
        <w:rPr>
          <w:sz w:val="28"/>
          <w:szCs w:val="28"/>
          <w:highlight w:val="white"/>
        </w:rPr>
        <w:t xml:space="preserve">помещения жилым помещением, жилого помещения непригодным для проживания, многоквартирного дома аварийным и под</w:t>
      </w:r>
      <w:r>
        <w:rPr>
          <w:sz w:val="28"/>
          <w:szCs w:val="28"/>
          <w:highlight w:val="white"/>
        </w:rPr>
        <w:t xml:space="preserve">лежащим сносу или реконструкции</w:t>
      </w:r>
      <w:r>
        <w:rPr>
          <w:sz w:val="28"/>
          <w:szCs w:val="28"/>
          <w:highlight w:val="white"/>
        </w:rPr>
        <w:t xml:space="preserve">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highlight w:val="white"/>
          <w:u w:val="single"/>
        </w:rPr>
        <w:t xml:space="preserve">2.2. Наименование органа, предоставляющего муниципальную услугу</w:t>
      </w:r>
      <w:r>
        <w:rPr>
          <w:rFonts w:ascii="Times New Roman" w:hAnsi="Times New Roman" w:cs="Times New Roman"/>
          <w:sz w:val="28"/>
          <w:highlight w:val="white"/>
        </w:rPr>
        <w:t xml:space="preserve">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highlight w:val="white"/>
        </w:rPr>
      </w:r>
      <w:bookmarkEnd w:id="3"/>
      <w:r>
        <w:rPr>
          <w:sz w:val="28"/>
          <w:szCs w:val="28"/>
          <w:highlight w:val="white"/>
        </w:rPr>
        <w:t xml:space="preserve">Муниципальную </w:t>
      </w:r>
      <w:r>
        <w:rPr>
          <w:sz w:val="28"/>
          <w:szCs w:val="28"/>
          <w:highlight w:val="white"/>
        </w:rPr>
        <w:t xml:space="preserve">услугу предоставляет: администрация _____________________ городского/сельского поселения, городско</w:t>
      </w:r>
      <w:r>
        <w:rPr>
          <w:sz w:val="28"/>
          <w:szCs w:val="28"/>
          <w:highlight w:val="white"/>
        </w:rPr>
        <w:t xml:space="preserve">го/муниципального округа Ленинградской области (далее – администрация)</w:t>
      </w:r>
      <w:r>
        <w:rPr>
          <w:sz w:val="28"/>
          <w:szCs w:val="28"/>
          <w:highlight w:val="white"/>
        </w:rPr>
        <w:t xml:space="preserve"> по месту нахождения помещения/многоквартирного дома</w:t>
      </w:r>
      <w:r>
        <w:rPr>
          <w:sz w:val="28"/>
          <w:szCs w:val="28"/>
          <w:highlight w:val="white"/>
        </w:rPr>
        <w:t xml:space="preserve">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Оценка и обследование </w:t>
      </w:r>
      <w:r>
        <w:rPr>
          <w:sz w:val="28"/>
          <w:szCs w:val="28"/>
          <w:highlight w:val="white"/>
        </w:rPr>
        <w:t xml:space="preserve">помещения в целях признания его жилым помещением, жилого помещения пригодным (непригодным) для проживания граждан, а также многоквартирного дома в целях признания его аварийным и подлежащим сносу или реконструкции осуществляются</w:t>
      </w:r>
      <w:r>
        <w:rPr>
          <w:sz w:val="28"/>
          <w:szCs w:val="28"/>
          <w:highlight w:val="white"/>
        </w:rPr>
        <w:t xml:space="preserve"> межведомственной комиссией по признанию помещения жилым помещением, жилого помещения пригодным (непригодным) для проживания граждан, а также многоквартирного дома аварийным и под</w:t>
      </w:r>
      <w:r>
        <w:rPr>
          <w:sz w:val="28"/>
          <w:szCs w:val="28"/>
          <w:highlight w:val="white"/>
        </w:rPr>
        <w:t xml:space="preserve">л</w:t>
      </w:r>
      <w:r>
        <w:rPr>
          <w:sz w:val="28"/>
          <w:szCs w:val="28"/>
          <w:highlight w:val="white"/>
        </w:rPr>
        <w:t xml:space="preserve">ежащим сносу или реконструкции </w:t>
      </w:r>
      <w:r>
        <w:rPr>
          <w:sz w:val="28"/>
          <w:szCs w:val="28"/>
          <w:highlight w:val="white"/>
        </w:rPr>
        <w:t xml:space="preserve">(далее – комиссия), являющейся постоянно</w:t>
      </w:r>
      <w:r>
        <w:rPr>
          <w:sz w:val="28"/>
          <w:szCs w:val="28"/>
          <w:highlight w:val="white"/>
        </w:rPr>
        <w:t xml:space="preserve"> действующим органом администрации, уполномоченным принимать решения по указанным вопросам.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tabs>
          <w:tab w:val="left" w:pos="113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Порядок работы, состав, полномочия комиссии определяется в соответствии с Положением о комиссии, утвержденным администрацией.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tabs>
          <w:tab w:val="left" w:pos="113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tabs>
          <w:tab w:val="left" w:pos="113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highlight w:val="white"/>
          <w:u w:val="single"/>
        </w:rPr>
        <w:t xml:space="preserve">2.3. Результат предоставления муниципальной услуги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tabs>
          <w:tab w:val="left" w:pos="113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  <w:t xml:space="preserve">Результатом предоставления муниципальной услуги является: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tabs>
          <w:tab w:val="left" w:pos="1134" w:leader="none"/>
        </w:tabs>
        <w:rPr>
          <w:rFonts w:ascii="Times New Roman" w:hAnsi="Times New Roman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  <w:t xml:space="preserve">решени</w:t>
      </w:r>
      <w:r>
        <w:rPr>
          <w:rFonts w:ascii="Times New Roman" w:hAnsi="Times New Roman"/>
          <w:sz w:val="28"/>
          <w:szCs w:val="28"/>
          <w:highlight w:val="white"/>
        </w:rPr>
        <w:t xml:space="preserve">е</w:t>
      </w:r>
      <w:r>
        <w:rPr>
          <w:rFonts w:ascii="Times New Roman" w:hAnsi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sz w:val="28"/>
          <w:szCs w:val="28"/>
          <w:highlight w:val="white"/>
        </w:rPr>
        <w:t xml:space="preserve">о признании </w:t>
      </w:r>
      <w:r>
        <w:rPr>
          <w:rFonts w:ascii="Times New Roman" w:hAnsi="Times New Roman"/>
          <w:sz w:val="28"/>
          <w:szCs w:val="28"/>
          <w:highlight w:val="white"/>
        </w:rPr>
        <w:t xml:space="preserve">(об отказе в признании) </w:t>
      </w:r>
      <w:r>
        <w:rPr>
          <w:rFonts w:ascii="Times New Roman" w:hAnsi="Times New Roman"/>
          <w:sz w:val="28"/>
          <w:szCs w:val="28"/>
          <w:highlight w:val="white"/>
        </w:rPr>
        <w:t xml:space="preserve">помещения жилым </w:t>
      </w:r>
      <w:r>
        <w:rPr>
          <w:rFonts w:ascii="Times New Roman" w:hAnsi="Times New Roman"/>
          <w:sz w:val="28"/>
          <w:szCs w:val="28"/>
          <w:highlight w:val="white"/>
        </w:rPr>
        <w:t xml:space="preserve">помещением, жилого помещения непригодным для проживания, многоквартирного дома аварийным и подлежащим сносу или реконструкции</w:t>
      </w:r>
      <w:r>
        <w:rPr>
          <w:rFonts w:ascii="Times New Roman" w:hAnsi="Times New Roman"/>
          <w:sz w:val="28"/>
          <w:szCs w:val="28"/>
          <w:highlight w:val="white"/>
        </w:rPr>
        <w:t xml:space="preserve">;</w:t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tabs>
          <w:tab w:val="left" w:pos="1134" w:leader="none"/>
        </w:tabs>
        <w:rPr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  <w:t xml:space="preserve">возврат </w:t>
      </w:r>
      <w:r>
        <w:rPr>
          <w:rFonts w:ascii="Times New Roman" w:hAnsi="Times New Roman"/>
          <w:sz w:val="28"/>
          <w:szCs w:val="28"/>
          <w:highlight w:val="white"/>
        </w:rPr>
        <w:t xml:space="preserve">запроса и</w:t>
      </w:r>
      <w:r>
        <w:rPr>
          <w:rFonts w:ascii="Times New Roman" w:hAnsi="Times New Roman"/>
          <w:sz w:val="28"/>
          <w:szCs w:val="28"/>
          <w:highlight w:val="white"/>
        </w:rPr>
        <w:t xml:space="preserve"> документов на получение услуги</w:t>
      </w:r>
      <w:r>
        <w:rPr>
          <w:rFonts w:ascii="Times New Roman" w:hAnsi="Times New Roman"/>
          <w:sz w:val="28"/>
          <w:szCs w:val="28"/>
          <w:highlight w:val="white"/>
        </w:rPr>
        <w:t xml:space="preserve"> без рассмотрения</w:t>
      </w:r>
      <w:r>
        <w:rPr>
          <w:rFonts w:ascii="Times New Roman" w:hAnsi="Times New Roman"/>
          <w:sz w:val="28"/>
          <w:szCs w:val="28"/>
          <w:highlight w:val="white"/>
        </w:rPr>
        <w:t xml:space="preserve">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Результат предоставления муниципальной услуги предоставляется </w:t>
      </w:r>
      <w:r>
        <w:rPr>
          <w:sz w:val="28"/>
          <w:szCs w:val="28"/>
          <w:highlight w:val="white"/>
        </w:rPr>
        <w:br/>
        <w:t xml:space="preserve">(в соответствии со способом, указанным заявителем при подаче </w:t>
      </w:r>
      <w:r>
        <w:rPr>
          <w:sz w:val="28"/>
          <w:szCs w:val="28"/>
          <w:highlight w:val="white"/>
        </w:rPr>
        <w:t xml:space="preserve">запроса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br/>
        <w:t xml:space="preserve">и документов):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1) при личной явке: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 администрации;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 филиалах, отделах, удаленных рабочих местах ГБУ ЛО «МФЦ»;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2) без личной явки: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почтовым отправлением;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 электронной форме через личный кабинет заявителя на ЕПГУ.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1003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highlight w:val="white"/>
          <w:u w:val="single"/>
        </w:rPr>
      </w:pPr>
      <w:r>
        <w:rPr>
          <w:rFonts w:ascii="Times New Roman" w:hAnsi="Times New Roman" w:cs="Times New Roman"/>
          <w:sz w:val="28"/>
          <w:highlight w:val="white"/>
          <w:u w:val="single"/>
        </w:rPr>
        <w:t xml:space="preserve">2.4. Срок предоставления муниципальной услуги.</w:t>
      </w:r>
      <w:r>
        <w:rPr>
          <w:rFonts w:ascii="Times New Roman" w:hAnsi="Times New Roman" w:cs="Times New Roman"/>
          <w:highlight w:val="white"/>
          <w:u w:val="single"/>
        </w:rPr>
      </w:r>
      <w:r>
        <w:rPr>
          <w:rFonts w:ascii="Times New Roman" w:hAnsi="Times New Roman" w:cs="Times New Roman"/>
          <w:highlight w:val="white"/>
          <w:u w:val="single"/>
        </w:rPr>
      </w:r>
    </w:p>
    <w:p>
      <w:pPr>
        <w:ind w:firstLine="709"/>
        <w:jc w:val="both"/>
        <w:widowControl w:val="off"/>
        <w:rPr>
          <w:sz w:val="28"/>
          <w:szCs w:val="28"/>
          <w:highlight w:val="white"/>
          <w14:ligatures w14:val="none"/>
        </w:rPr>
      </w:pPr>
      <w:r>
        <w:rPr>
          <w:sz w:val="28"/>
          <w:szCs w:val="28"/>
          <w:highlight w:val="white"/>
        </w:rPr>
        <w:t xml:space="preserve">Максимальный срок предоставления муниципальной услуги составляет:</w:t>
      </w:r>
      <w:r>
        <w:rPr>
          <w:sz w:val="28"/>
          <w:szCs w:val="28"/>
          <w:highlight w:val="white"/>
          <w14:ligatures w14:val="none"/>
        </w:rPr>
      </w:r>
      <w:r>
        <w:rPr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widowControl w:val="off"/>
        <w:rPr>
          <w:sz w:val="28"/>
          <w:szCs w:val="28"/>
          <w:highlight w:val="white"/>
          <w14:ligatures w14:val="non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  <w:t xml:space="preserve">30 календарных дней с даты регистрации</w:t>
      </w:r>
      <w:r>
        <w:rPr>
          <w:sz w:val="28"/>
          <w:szCs w:val="28"/>
          <w:highlight w:val="white"/>
        </w:rPr>
        <w:t xml:space="preserve"> поступившего </w:t>
      </w:r>
      <w:r>
        <w:rPr>
          <w:sz w:val="28"/>
          <w:szCs w:val="28"/>
          <w:highlight w:val="white"/>
        </w:rPr>
        <w:t xml:space="preserve">з</w:t>
      </w:r>
      <w:r>
        <w:rPr>
          <w:sz w:val="28"/>
          <w:szCs w:val="28"/>
          <w:highlight w:val="white"/>
        </w:rPr>
        <w:t xml:space="preserve">а</w:t>
      </w:r>
      <w:r>
        <w:rPr>
          <w:sz w:val="28"/>
          <w:szCs w:val="28"/>
          <w:highlight w:val="white"/>
        </w:rPr>
        <w:t xml:space="preserve">я</w:t>
      </w:r>
      <w:r>
        <w:rPr>
          <w:sz w:val="28"/>
          <w:szCs w:val="28"/>
          <w:highlight w:val="white"/>
        </w:rPr>
        <w:t xml:space="preserve">в</w:t>
      </w:r>
      <w:r>
        <w:rPr>
          <w:sz w:val="28"/>
          <w:szCs w:val="28"/>
          <w:highlight w:val="white"/>
        </w:rPr>
        <w:t xml:space="preserve">л</w:t>
      </w:r>
      <w:r>
        <w:rPr>
          <w:sz w:val="28"/>
          <w:szCs w:val="28"/>
          <w:highlight w:val="white"/>
        </w:rPr>
        <w:t xml:space="preserve">е</w:t>
      </w:r>
      <w:r>
        <w:rPr>
          <w:sz w:val="28"/>
          <w:szCs w:val="28"/>
          <w:highlight w:val="white"/>
        </w:rPr>
        <w:t xml:space="preserve">н</w:t>
      </w:r>
      <w:r>
        <w:rPr>
          <w:sz w:val="28"/>
          <w:szCs w:val="28"/>
          <w:highlight w:val="white"/>
        </w:rPr>
        <w:t xml:space="preserve">и</w:t>
      </w:r>
      <w:r>
        <w:rPr>
          <w:sz w:val="28"/>
          <w:szCs w:val="28"/>
          <w:highlight w:val="white"/>
        </w:rPr>
        <w:t xml:space="preserve">я</w:t>
      </w:r>
      <w:r>
        <w:rPr>
          <w:sz w:val="28"/>
          <w:szCs w:val="28"/>
          <w:highlight w:val="white"/>
        </w:rPr>
        <w:t xml:space="preserve">;</w:t>
      </w:r>
      <w:r>
        <w:rPr>
          <w:sz w:val="28"/>
          <w:szCs w:val="28"/>
          <w:highlight w:val="white"/>
          <w14:ligatures w14:val="none"/>
        </w:rPr>
      </w:r>
      <w:r>
        <w:rPr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widowControl w:val="off"/>
        <w:rPr>
          <w:sz w:val="28"/>
          <w:szCs w:val="28"/>
          <w:highlight w:val="white"/>
          <w14:ligatures w14:val="non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  <w:t xml:space="preserve">20 календарных дней с даты регистрации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(в случае поступления </w:t>
      </w:r>
      <w:r>
        <w:rPr>
          <w:sz w:val="28"/>
          <w:szCs w:val="28"/>
          <w:highlight w:val="white"/>
        </w:rPr>
        <w:t xml:space="preserve">заявления собственника, правообладателя или нанимателя жилого помещения, которое получило повреждения в результате чрезвычайной ситуации и при этом не включено в сводный перечень объектов (жилых помещений), предусмотренные</w:t>
      </w:r>
      <w:r>
        <w:rPr>
          <w:sz w:val="28"/>
          <w:szCs w:val="28"/>
          <w:highlight w:val="white"/>
        </w:rPr>
        <w:t xml:space="preserve"> </w:t>
      </w:r>
      <w:hyperlink r:id="rId13" w:tooltip="https://docs.cntd.ru/document/901966282#7DM0K8" w:history="1">
        <w:r>
          <w:rPr>
            <w:sz w:val="28"/>
            <w:szCs w:val="28"/>
            <w:highlight w:val="white"/>
          </w:rPr>
          <w:t xml:space="preserve">пунктом 42 </w:t>
        </w:r>
        <w:r>
          <w:rPr>
            <w:sz w:val="28"/>
            <w:szCs w:val="28"/>
            <w:highlight w:val="white"/>
          </w:rPr>
          <w:t xml:space="preserve">Положения о признании</w:t>
        </w:r>
        <w:r>
          <w:rPr>
            <w:sz w:val="28"/>
            <w:szCs w:val="28"/>
            <w:highlight w:val="white"/>
          </w:rPr>
          <w:t xml:space="preserve"> помещения жилым помещением, жилого помещения непригодным для проживания, многоквартирного дома аварийным и подлежащим сносу или реконструкции</w:t>
        </w:r>
        <w:r>
          <w:rPr>
            <w:sz w:val="28"/>
            <w:szCs w:val="28"/>
            <w:highlight w:val="white"/>
          </w:rPr>
          <w:t xml:space="preserve">,</w:t>
        </w:r>
        <w:r>
          <w:rPr>
            <w:sz w:val="28"/>
            <w:szCs w:val="28"/>
            <w:highlight w:val="white"/>
          </w:rPr>
          <w:t xml:space="preserve"> </w:t>
        </w:r>
        <w:r>
          <w:rPr>
            <w:sz w:val="28"/>
            <w:szCs w:val="28"/>
            <w:highlight w:val="white"/>
          </w:rPr>
          <w:t xml:space="preserve">садового дома жилым домом и жилого дома садовым домом</w:t>
        </w:r>
        <w:r>
          <w:rPr>
            <w:sz w:val="28"/>
            <w:szCs w:val="28"/>
            <w:highlight w:val="white"/>
          </w:rPr>
          <w:t xml:space="preserve">,</w:t>
        </w:r>
        <w:r>
          <w:rPr>
            <w:sz w:val="28"/>
            <w:szCs w:val="28"/>
            <w:highlight w:val="white"/>
          </w:rPr>
          <w:t xml:space="preserve"> утвержденным постановлением Прав</w:t>
        </w:r>
        <w:r>
          <w:rPr>
            <w:sz w:val="28"/>
            <w:szCs w:val="28"/>
            <w:highlight w:val="white"/>
          </w:rPr>
          <w:t xml:space="preserve">ительства Российской Федерации </w:t>
        </w:r>
        <w:r>
          <w:rPr>
            <w:sz w:val="28"/>
            <w:szCs w:val="28"/>
            <w:highlight w:val="white"/>
          </w:rPr>
          <w:t xml:space="preserve">от 28.01.2006 № 47</w:t>
        </w:r>
        <w:r>
          <w:rPr>
            <w:sz w:val="28"/>
            <w:szCs w:val="28"/>
            <w:highlight w:val="white"/>
          </w:rPr>
          <w:t xml:space="preserve"> </w:t>
        </w:r>
        <w:r>
          <w:rPr>
            <w:sz w:val="28"/>
            <w:szCs w:val="28"/>
            <w:highlight w:val="white"/>
          </w:rPr>
          <w:t xml:space="preserve">(</w:t>
        </w:r>
        <w:r>
          <w:rPr>
            <w:sz w:val="28"/>
            <w:szCs w:val="28"/>
            <w:highlight w:val="white"/>
          </w:rPr>
          <w:t xml:space="preserve">далее – Положение)</w:t>
        </w:r>
        <w:r>
          <w:rPr>
            <w:sz w:val="28"/>
            <w:szCs w:val="28"/>
            <w:highlight w:val="white"/>
          </w:rPr>
        </w:r>
        <w:r>
          <w:rPr>
            <w:sz w:val="28"/>
            <w:szCs w:val="28"/>
            <w:highlight w:val="white"/>
          </w:rPr>
        </w:r>
      </w:hyperlink>
      <w:r>
        <w:rPr>
          <w:sz w:val="28"/>
          <w:szCs w:val="28"/>
          <w:highlight w:val="white"/>
        </w:rPr>
        <w:t xml:space="preserve">)</w:t>
      </w:r>
      <w:r>
        <w:rPr>
          <w:sz w:val="28"/>
          <w:szCs w:val="28"/>
          <w:highlight w:val="white"/>
        </w:rPr>
        <w:t xml:space="preserve">.</w:t>
      </w:r>
      <w:r>
        <w:rPr>
          <w:sz w:val="28"/>
          <w:szCs w:val="28"/>
          <w:highlight w:val="white"/>
          <w14:ligatures w14:val="none"/>
        </w:rPr>
      </w:r>
      <w:r>
        <w:rPr>
          <w:sz w:val="28"/>
          <w:szCs w:val="28"/>
          <w:highlight w:val="white"/>
          <w14:ligatures w14:val="none"/>
        </w:rPr>
      </w:r>
    </w:p>
    <w:p>
      <w:pPr>
        <w:ind w:firstLine="709"/>
        <w:jc w:val="both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  <w:u w:val="single"/>
        </w:rPr>
        <w:t xml:space="preserve">2.5</w:t>
      </w:r>
      <w:r>
        <w:rPr>
          <w:color w:val="000000" w:themeColor="text1"/>
          <w:sz w:val="28"/>
          <w:szCs w:val="28"/>
          <w:highlight w:val="white"/>
          <w:u w:val="single"/>
        </w:rPr>
        <w:t xml:space="preserve">. </w:t>
      </w:r>
      <w:r>
        <w:rPr>
          <w:color w:val="000000" w:themeColor="text1"/>
          <w:sz w:val="28"/>
          <w:szCs w:val="28"/>
          <w:highlight w:val="white"/>
          <w:u w:val="single"/>
        </w:rPr>
        <w:t xml:space="preserve">Р</w:t>
      </w:r>
      <w:r>
        <w:rPr>
          <w:color w:val="000000" w:themeColor="text1"/>
          <w:sz w:val="28"/>
          <w:szCs w:val="28"/>
          <w:highlight w:val="white"/>
          <w:u w:val="single"/>
        </w:rPr>
        <w:t xml:space="preserve">азмер платы, взимаемой с заявителя при предоставлении </w:t>
      </w:r>
      <w:r>
        <w:rPr>
          <w:color w:val="000000" w:themeColor="text1"/>
          <w:sz w:val="28"/>
          <w:szCs w:val="28"/>
          <w:highlight w:val="white"/>
          <w:u w:val="single"/>
        </w:rPr>
        <w:t xml:space="preserve">муниципальной</w:t>
      </w:r>
      <w:r>
        <w:rPr>
          <w:color w:val="000000" w:themeColor="text1"/>
          <w:sz w:val="28"/>
          <w:szCs w:val="28"/>
          <w:highlight w:val="white"/>
          <w:u w:val="single"/>
        </w:rPr>
        <w:t xml:space="preserve"> услуги, и способы ее взимания</w:t>
      </w:r>
      <w:r>
        <w:rPr>
          <w:color w:val="000000" w:themeColor="text1"/>
          <w:sz w:val="28"/>
          <w:szCs w:val="28"/>
          <w:highlight w:val="white"/>
          <w:u w:val="single"/>
        </w:rPr>
        <w:t xml:space="preserve">.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pStyle w:val="981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Муниципальная услуга предоставляется бесплатно.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981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03"/>
        <w:ind w:left="0" w:right="0" w:firstLine="709"/>
        <w:jc w:val="both"/>
        <w:spacing w:before="0" w:after="0" w:line="240" w:lineRule="auto"/>
        <w:rPr>
          <w:highlight w:val="white"/>
        </w:rPr>
      </w:pPr>
      <w:r>
        <w:rPr>
          <w:rFonts w:ascii="Times New Roman" w:hAnsi="Times New Roman" w:cs="Times New Roman"/>
          <w:sz w:val="28"/>
          <w:highlight w:val="white"/>
          <w:u w:val="single"/>
        </w:rPr>
        <w:t xml:space="preserve"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  <w:r>
        <w:rPr>
          <w:rFonts w:ascii="Times New Roman" w:hAnsi="Times New Roman" w:cs="Times New Roman"/>
          <w:sz w:val="28"/>
          <w:highlight w:val="white"/>
        </w:rPr>
        <w:t xml:space="preserve">. </w:t>
      </w:r>
      <w:r>
        <w:rPr>
          <w:highlight w:val="white"/>
        </w:rPr>
      </w:r>
    </w:p>
    <w:p>
      <w:pPr>
        <w:pStyle w:val="1003"/>
        <w:ind w:left="0" w:right="0" w:firstLine="709"/>
        <w:jc w:val="both"/>
        <w:spacing w:before="0" w:after="0" w:line="240" w:lineRule="auto"/>
        <w:tabs>
          <w:tab w:val="left" w:pos="566" w:leader="none"/>
        </w:tabs>
        <w:rPr>
          <w:highlight w:val="white"/>
        </w:rPr>
      </w:pPr>
      <w:r>
        <w:rPr>
          <w:rFonts w:ascii="Times New Roman" w:hAnsi="Times New Roman" w:cs="Times New Roman"/>
          <w:sz w:val="28"/>
          <w:highlight w:val="white"/>
        </w:rPr>
        <w:t xml:space="preserve"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услуги,</w:t>
      </w:r>
      <w:r>
        <w:rPr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highlight w:val="white"/>
        </w:rPr>
        <w:t xml:space="preserve">в случае обращения заявителя непосредственно в Администрацию или ГБУ ЛО «МФЦ»,  составляет не более 15 минут.</w:t>
      </w:r>
      <w:r>
        <w:rPr>
          <w:highlight w:val="white"/>
        </w:rPr>
      </w:r>
    </w:p>
    <w:p>
      <w:pPr>
        <w:pStyle w:val="981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1003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highlight w:val="white"/>
          <w:u w:val="single"/>
        </w:rPr>
      </w:pPr>
      <w:r>
        <w:rPr>
          <w:rFonts w:ascii="Times New Roman" w:hAnsi="Times New Roman" w:cs="Times New Roman"/>
          <w:sz w:val="28"/>
          <w:highlight w:val="white"/>
          <w:u w:val="single"/>
        </w:rPr>
        <w:t xml:space="preserve">2.7. Срок регистрации запроса заявителя о предоставлении муниципальной услуги</w:t>
      </w:r>
      <w:r>
        <w:rPr>
          <w:rFonts w:ascii="Times New Roman" w:hAnsi="Times New Roman" w:cs="Times New Roman"/>
          <w:highlight w:val="white"/>
          <w:u w:val="single"/>
        </w:rPr>
      </w:r>
      <w:r>
        <w:rPr>
          <w:rFonts w:ascii="Times New Roman" w:hAnsi="Times New Roman" w:cs="Times New Roman"/>
          <w:highlight w:val="white"/>
          <w:u w:val="single"/>
        </w:rPr>
      </w:r>
    </w:p>
    <w:p>
      <w:pPr>
        <w:pStyle w:val="969"/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highlight w:val="white"/>
        </w:rPr>
      </w:pPr>
      <w:r>
        <w:rPr>
          <w:color w:val="000000" w:themeColor="text1"/>
          <w:szCs w:val="28"/>
          <w:highlight w:val="white"/>
        </w:rPr>
      </w:r>
      <w:r>
        <w:rPr>
          <w:color w:val="000000" w:themeColor="text1"/>
          <w:szCs w:val="28"/>
          <w:highlight w:val="white"/>
        </w:rPr>
        <w:t xml:space="preserve"> Срок регистрации </w:t>
      </w:r>
      <w:r>
        <w:rPr>
          <w:szCs w:val="28"/>
          <w:highlight w:val="white"/>
        </w:rPr>
        <w:t xml:space="preserve">запроса заявителя о предоставлении муниципальной услуги составляет в администрации:</w:t>
      </w:r>
      <w:r>
        <w:rPr>
          <w:highlight w:val="white"/>
        </w:rPr>
      </w:r>
      <w:r>
        <w:rPr>
          <w:highlight w:val="white"/>
        </w:rPr>
      </w:r>
    </w:p>
    <w:p>
      <w:pPr>
        <w:pStyle w:val="1003"/>
        <w:ind w:left="0" w:right="0" w:firstLine="709"/>
        <w:jc w:val="both"/>
        <w:spacing w:before="0" w:after="0" w:line="240" w:lineRule="auto"/>
        <w:rPr>
          <w:highlight w:val="white"/>
        </w:rPr>
      </w:pPr>
      <w:r>
        <w:rPr>
          <w:rFonts w:ascii="Times New Roman" w:hAnsi="Times New Roman" w:cs="Times New Roman"/>
          <w:sz w:val="28"/>
          <w:highlight w:val="white"/>
          <w:lang w:val="ru-RU"/>
        </w:rPr>
        <w:t xml:space="preserve">- при личном обращении – в день поступления заявления или на следующий рабочий день (в случае направления документов в нерабочее время, в выходные, праздничные дни);</w:t>
      </w:r>
      <w:r>
        <w:rPr>
          <w:highlight w:val="white"/>
        </w:rPr>
      </w:r>
      <w:r>
        <w:rPr>
          <w:highlight w:val="white"/>
        </w:rPr>
      </w:r>
    </w:p>
    <w:p>
      <w:pPr>
        <w:pStyle w:val="1003"/>
        <w:ind w:left="0" w:right="0" w:firstLine="709"/>
        <w:jc w:val="both"/>
        <w:spacing w:before="0" w:after="0" w:line="240" w:lineRule="auto"/>
        <w:rPr>
          <w:highlight w:val="white"/>
        </w:rPr>
      </w:pPr>
      <w:r>
        <w:rPr>
          <w:rFonts w:ascii="Times New Roman" w:hAnsi="Times New Roman" w:cs="Times New Roman"/>
          <w:sz w:val="28"/>
          <w:highlight w:val="white"/>
          <w:lang w:val="ru-RU"/>
        </w:rPr>
        <w:t xml:space="preserve">- при направлении почтовой связью – в день поступления заявления или на следующий рабочий день (в случае направления документов в нерабочее время, в выходные, праздничные дни);</w:t>
      </w:r>
      <w:r>
        <w:rPr>
          <w:highlight w:val="white"/>
        </w:rPr>
      </w:r>
      <w:r>
        <w:rPr>
          <w:highlight w:val="white"/>
        </w:rPr>
      </w:r>
    </w:p>
    <w:p>
      <w:pPr>
        <w:pStyle w:val="1003"/>
        <w:ind w:left="0" w:right="0" w:firstLine="709"/>
        <w:jc w:val="both"/>
        <w:spacing w:before="0" w:after="0" w:line="240" w:lineRule="auto"/>
        <w:rPr>
          <w:highlight w:val="white"/>
        </w:rPr>
      </w:pPr>
      <w:r>
        <w:rPr>
          <w:rFonts w:ascii="Times New Roman" w:hAnsi="Times New Roman" w:cs="Times New Roman"/>
          <w:sz w:val="28"/>
          <w:highlight w:val="white"/>
          <w:lang w:val="ru-RU"/>
        </w:rPr>
        <w:t xml:space="preserve">- при направлении на бумажном носителе посредством ГБУ ЛО «МФЦ» в Администрацию – в день поступления документов из ГБУ ЛО «МФЦ» в Администрацию;</w:t>
      </w:r>
      <w:r>
        <w:rPr>
          <w:highlight w:val="white"/>
        </w:rPr>
      </w:r>
      <w:r>
        <w:rPr>
          <w:highlight w:val="white"/>
        </w:rPr>
      </w:r>
    </w:p>
    <w:p>
      <w:pPr>
        <w:pStyle w:val="1003"/>
        <w:ind w:left="0" w:right="0" w:firstLine="709"/>
        <w:jc w:val="both"/>
        <w:spacing w:before="0" w:after="0" w:line="240" w:lineRule="auto"/>
        <w:rPr>
          <w:highlight w:val="white"/>
        </w:rPr>
      </w:pPr>
      <w:r>
        <w:rPr>
          <w:rFonts w:ascii="Times New Roman" w:hAnsi="Times New Roman" w:cs="Times New Roman"/>
          <w:sz w:val="28"/>
          <w:highlight w:val="white"/>
          <w:lang w:val="ru-RU"/>
        </w:rPr>
        <w:t xml:space="preserve">- при направлении в форме электронного документа посредством Единого портала (при наличии технической возможности) – в день поступления запроса на </w:t>
      </w:r>
      <w:r>
        <w:rPr>
          <w:rFonts w:ascii="Times New Roman" w:hAnsi="Times New Roman" w:cs="Times New Roman"/>
          <w:sz w:val="28"/>
          <w:highlight w:val="white"/>
          <w:lang w:val="ru-RU"/>
        </w:rPr>
        <w:t xml:space="preserve">Единый портал или на следующий рабочий день (в случае направления документов в нерабочее время, в выходные, праздничные дни)</w:t>
      </w:r>
      <w:r>
        <w:rPr>
          <w:rFonts w:ascii="Times New Roman" w:hAnsi="Times New Roman" w:cs="Times New Roman"/>
          <w:sz w:val="28"/>
          <w:highlight w:val="white"/>
          <w:lang w:val="ru-RU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1003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highlight w:val="white"/>
          <w:lang w:val="ru-RU"/>
        </w:rPr>
        <w:t xml:space="preserve">Датой получения документов считается дата представления полного комплекта документов.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969"/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pStyle w:val="1003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highlight w:val="white"/>
          <w:u w:val="single"/>
        </w:rPr>
      </w:pPr>
      <w:r>
        <w:rPr>
          <w:rFonts w:ascii="Times New Roman" w:hAnsi="Times New Roman" w:cs="Times New Roman"/>
          <w:sz w:val="28"/>
          <w:highlight w:val="white"/>
          <w:u w:val="single"/>
        </w:rPr>
        <w:t xml:space="preserve">2.8. Требования к помещениям, в которых предоставляется муниципальная услуга</w:t>
      </w:r>
      <w:r>
        <w:rPr>
          <w:rFonts w:ascii="Times New Roman" w:hAnsi="Times New Roman" w:cs="Times New Roman"/>
          <w:highlight w:val="white"/>
          <w:u w:val="single"/>
        </w:rPr>
      </w:r>
      <w:r>
        <w:rPr>
          <w:rFonts w:ascii="Times New Roman" w:hAnsi="Times New Roman" w:cs="Times New Roman"/>
          <w:highlight w:val="white"/>
          <w:u w:val="single"/>
        </w:rPr>
      </w:r>
    </w:p>
    <w:p>
      <w:pPr>
        <w:pStyle w:val="1003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highlight w:val="white"/>
        </w:rPr>
      </w:r>
      <w:r>
        <w:rPr>
          <w:rFonts w:ascii="Times New Roman" w:hAnsi="Times New Roman" w:cs="Times New Roman"/>
          <w:sz w:val="28"/>
          <w:highlight w:val="white"/>
        </w:rPr>
        <w:t xml:space="preserve">Требования к помещениям, в которых предоставляется муниципальная услуга, </w:t>
      </w:r>
      <w:r>
        <w:rPr>
          <w:rFonts w:ascii="Times New Roman" w:hAnsi="Times New Roman" w:cs="Times New Roman"/>
          <w:sz w:val="28"/>
          <w:highlight w:val="white"/>
        </w:rPr>
        <w:t xml:space="preserve">в случае обращения заявителя непосредственно в орган, предоставляющий муниципальную услугу, или многофункциональный центр,</w:t>
      </w:r>
      <w:r>
        <w:rPr>
          <w:rFonts w:ascii="Times New Roman" w:hAnsi="Times New Roman" w:cs="Times New Roman"/>
          <w:sz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highlight w:val="white"/>
        </w:rPr>
        <w:t xml:space="preserve">размещены на официальном сайте Администрации в информационно-телекоммуникационной сети "Интернет", а также на Едином портале</w:t>
      </w:r>
      <w:r>
        <w:rPr>
          <w:rFonts w:ascii="Times New Roman" w:hAnsi="Times New Roman" w:cs="Times New Roman"/>
          <w:sz w:val="28"/>
          <w:highlight w:val="white"/>
        </w:rPr>
        <w:t xml:space="preserve">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1003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highlight w:val="white"/>
          <w:u w:val="single"/>
        </w:rPr>
      </w:pPr>
      <w:r>
        <w:rPr>
          <w:rFonts w:ascii="Times New Roman" w:hAnsi="Times New Roman" w:cs="Times New Roman"/>
          <w:sz w:val="28"/>
          <w:highlight w:val="white"/>
          <w:u w:val="single"/>
        </w:rPr>
        <w:t xml:space="preserve">2.9. Показатели качества и доступности муниципальной услуги</w:t>
      </w:r>
      <w:r>
        <w:rPr>
          <w:rFonts w:ascii="Times New Roman" w:hAnsi="Times New Roman" w:cs="Times New Roman"/>
          <w:highlight w:val="white"/>
          <w:u w:val="single"/>
        </w:rPr>
      </w:r>
      <w:r>
        <w:rPr>
          <w:rFonts w:ascii="Times New Roman" w:hAnsi="Times New Roman" w:cs="Times New Roman"/>
          <w:highlight w:val="white"/>
          <w:u w:val="single"/>
        </w:rPr>
      </w:r>
    </w:p>
    <w:p>
      <w:pPr>
        <w:pStyle w:val="1003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highlight w:val="white"/>
        </w:rPr>
        <w:t xml:space="preserve">Перечень показателей качества и доступности муниципальной услуги размещен на официальном сайте Администрации в информационно-телекоммуникационной сети «Интернет», а также на Едином портале.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highlight w:val="white"/>
          <w:u w:val="single"/>
        </w:rPr>
        <w:t xml:space="preserve">2.10. Иные требования к предоставлению муниципальной услуги,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color w:val="000000" w:themeColor="text1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2.10.1. П</w:t>
      </w:r>
      <w:r>
        <w:rPr>
          <w:sz w:val="28"/>
          <w:szCs w:val="28"/>
          <w:highlight w:val="white"/>
        </w:rPr>
        <w:t xml:space="preserve">олучение услуг, которые являются необходимыми и обязательными, для предоставления муниципальной услуги </w:t>
      </w:r>
      <w:r>
        <w:rPr>
          <w:color w:val="000000" w:themeColor="text1"/>
          <w:sz w:val="28"/>
          <w:szCs w:val="28"/>
          <w:highlight w:val="white"/>
        </w:rPr>
        <w:t xml:space="preserve">не требуется.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2.10.2.</w:t>
      </w:r>
      <w:r>
        <w:rPr>
          <w:highlight w:val="white"/>
        </w:rPr>
        <w:t xml:space="preserve"> </w:t>
      </w:r>
      <w:r>
        <w:rPr>
          <w:color w:val="000000" w:themeColor="text1"/>
          <w:sz w:val="28"/>
          <w:szCs w:val="28"/>
          <w:highlight w:val="white"/>
        </w:rPr>
        <w:t xml:space="preserve">Для предоставления </w:t>
      </w:r>
      <w:r>
        <w:rPr>
          <w:color w:val="000000" w:themeColor="text1"/>
          <w:sz w:val="28"/>
          <w:szCs w:val="28"/>
          <w:highlight w:val="white"/>
        </w:rPr>
        <w:t xml:space="preserve">муниципальной</w:t>
      </w:r>
      <w:r>
        <w:rPr>
          <w:color w:val="000000" w:themeColor="text1"/>
          <w:sz w:val="28"/>
          <w:szCs w:val="28"/>
          <w:highlight w:val="white"/>
        </w:rPr>
        <w:t xml:space="preserve"> </w:t>
      </w:r>
      <w:r>
        <w:rPr>
          <w:color w:val="000000" w:themeColor="text1"/>
          <w:sz w:val="28"/>
          <w:szCs w:val="28"/>
          <w:highlight w:val="white"/>
        </w:rPr>
        <w:t xml:space="preserve">услуги использу</w:t>
      </w:r>
      <w:r>
        <w:rPr>
          <w:color w:val="000000" w:themeColor="text1"/>
          <w:sz w:val="28"/>
          <w:szCs w:val="28"/>
          <w:highlight w:val="white"/>
        </w:rPr>
        <w:t xml:space="preserve">е</w:t>
      </w:r>
      <w:r>
        <w:rPr>
          <w:color w:val="000000" w:themeColor="text1"/>
          <w:sz w:val="28"/>
          <w:szCs w:val="28"/>
          <w:highlight w:val="white"/>
        </w:rPr>
        <w:t xml:space="preserve">тся</w:t>
      </w:r>
      <w:r>
        <w:rPr>
          <w:color w:val="000000" w:themeColor="text1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«Единая система межведомственного электронного взаимодействия» (СМЭВ)</w:t>
      </w:r>
      <w:r>
        <w:rPr>
          <w:color w:val="000000" w:themeColor="text1"/>
          <w:sz w:val="28"/>
          <w:szCs w:val="28"/>
          <w:highlight w:val="white"/>
        </w:rPr>
        <w:t xml:space="preserve">.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pStyle w:val="981"/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2.10.3.</w:t>
      </w:r>
      <w:r>
        <w:rPr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Предоставление результатов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запросе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в сроки, предусмотренные пунктом 3.6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настоящего регламента, с учетом требования, предусмотренного частью 3 статьи 5 Федерального закона от 27.07.2010 № 210-ФЗ "Об организации предоставления государственных и муниципальных услуг".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pStyle w:val="981"/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2.10.4. </w:t>
      </w:r>
      <w:r>
        <w:rPr>
          <w:rFonts w:ascii="Times New Roman" w:hAnsi="Times New Roman" w:cs="Times New Roman"/>
          <w:sz w:val="28"/>
          <w:highlight w:val="white"/>
        </w:rPr>
        <w:t xml:space="preserve">В случае</w:t>
      </w:r>
      <w:r>
        <w:rPr>
          <w:rFonts w:ascii="Times New Roman" w:hAnsi="Times New Roman" w:cs="Times New Roman"/>
          <w:sz w:val="28"/>
          <w:highlight w:val="white"/>
        </w:rPr>
        <w:t xml:space="preserve">,</w:t>
      </w:r>
      <w:r>
        <w:rPr>
          <w:rFonts w:ascii="Times New Roman" w:hAnsi="Times New Roman" w:cs="Times New Roman"/>
          <w:sz w:val="28"/>
          <w:highlight w:val="white"/>
        </w:rPr>
        <w:t xml:space="preserve"> если заявитель в момент подачи запроса о предоставлении муниципальной</w:t>
      </w:r>
      <w:r>
        <w:rPr>
          <w:rFonts w:ascii="Times New Roman" w:hAnsi="Times New Roman" w:cs="Times New Roman"/>
          <w:sz w:val="28"/>
          <w:highlight w:val="white"/>
        </w:rPr>
        <w:t xml:space="preserve"> услуги выразил письменно желание получить запрашиваемые результаты предоставления муниципальной услуги в отношении несовершеннолетнего лично</w:t>
      </w:r>
      <w:r>
        <w:rPr>
          <w:rFonts w:ascii="Times New Roman" w:hAnsi="Times New Roman" w:cs="Times New Roman"/>
          <w:sz w:val="28"/>
          <w:highlight w:val="white"/>
        </w:rPr>
        <w:t xml:space="preserve">, р</w:t>
      </w:r>
      <w:r>
        <w:rPr>
          <w:rFonts w:ascii="Times New Roman" w:hAnsi="Times New Roman" w:cs="Times New Roman"/>
          <w:sz w:val="28"/>
          <w:highlight w:val="white"/>
        </w:rPr>
        <w:t xml:space="preserve">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</w:t>
      </w:r>
      <w:r>
        <w:rPr>
          <w:rFonts w:ascii="Times New Roman" w:hAnsi="Times New Roman" w:cs="Times New Roman"/>
          <w:sz w:val="28"/>
          <w:highlight w:val="white"/>
        </w:rPr>
        <w:t xml:space="preserve">.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2.10.5.</w:t>
      </w:r>
      <w:r>
        <w:rPr>
          <w:color w:val="000000" w:themeColor="text1"/>
          <w:sz w:val="28"/>
          <w:szCs w:val="28"/>
          <w:highlight w:val="white"/>
        </w:rPr>
        <w:t xml:space="preserve"> </w:t>
      </w:r>
      <w:r>
        <w:rPr>
          <w:color w:val="000000" w:themeColor="text1"/>
          <w:sz w:val="28"/>
          <w:szCs w:val="28"/>
          <w:highlight w:val="white"/>
        </w:rPr>
        <w:t xml:space="preserve">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«МФЦ» и уполномоченным органом.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2.10.6. </w:t>
      </w:r>
      <w:r>
        <w:rPr>
          <w:color w:val="000000" w:themeColor="text1"/>
          <w:sz w:val="28"/>
          <w:szCs w:val="28"/>
          <w:highlight w:val="white"/>
        </w:rPr>
        <w:t xml:space="preserve">Многофункциональный центр принимает в том числе решение об отказе в приеме </w:t>
      </w:r>
      <w:r>
        <w:rPr>
          <w:color w:val="000000" w:themeColor="text1"/>
          <w:sz w:val="28"/>
          <w:szCs w:val="28"/>
          <w:highlight w:val="white"/>
        </w:rPr>
        <w:t xml:space="preserve">уведомления</w:t>
      </w:r>
      <w:r>
        <w:rPr>
          <w:color w:val="000000" w:themeColor="text1"/>
          <w:sz w:val="28"/>
          <w:szCs w:val="28"/>
          <w:highlight w:val="white"/>
        </w:rPr>
        <w:t xml:space="preserve"> и документов </w:t>
      </w:r>
      <w:r>
        <w:rPr>
          <w:color w:val="000000" w:themeColor="text1"/>
          <w:sz w:val="28"/>
          <w:szCs w:val="28"/>
          <w:highlight w:val="white"/>
        </w:rPr>
        <w:t xml:space="preserve">и (</w:t>
      </w:r>
      <w:r>
        <w:rPr>
          <w:color w:val="000000" w:themeColor="text1"/>
          <w:sz w:val="28"/>
          <w:szCs w:val="28"/>
          <w:highlight w:val="white"/>
        </w:rPr>
        <w:t xml:space="preserve">или) информации, необходимых для предоставления муниципальной услуги.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2.10.7. </w:t>
      </w:r>
      <w:r>
        <w:rPr>
          <w:color w:val="000000" w:themeColor="text1"/>
          <w:sz w:val="28"/>
          <w:szCs w:val="28"/>
          <w:highlight w:val="white"/>
        </w:rPr>
        <w:t xml:space="preserve">В многофункциональном центре осуществляется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</w:t>
      </w:r>
      <w:r>
        <w:rPr>
          <w:color w:val="000000" w:themeColor="text1"/>
          <w:sz w:val="28"/>
          <w:szCs w:val="28"/>
          <w:highlight w:val="white"/>
        </w:rPr>
        <w:t xml:space="preserve">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</w:tabs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  <w:u w:val="single"/>
        </w:rPr>
        <w:t xml:space="preserve">2.1</w:t>
      </w:r>
      <w:r>
        <w:rPr>
          <w:color w:val="000000" w:themeColor="text1"/>
          <w:sz w:val="28"/>
          <w:szCs w:val="28"/>
          <w:highlight w:val="white"/>
          <w:u w:val="single"/>
        </w:rPr>
        <w:t xml:space="preserve">1</w:t>
      </w:r>
      <w:r>
        <w:rPr>
          <w:color w:val="000000" w:themeColor="text1"/>
          <w:sz w:val="28"/>
          <w:szCs w:val="28"/>
          <w:highlight w:val="white"/>
          <w:u w:val="single"/>
        </w:rPr>
        <w:t xml:space="preserve">. Исчерпывающий перечень документов, необходимых для предоставления муниципальной услуги</w:t>
      </w:r>
      <w:r>
        <w:rPr>
          <w:color w:val="000000" w:themeColor="text1"/>
          <w:sz w:val="28"/>
          <w:szCs w:val="28"/>
          <w:highlight w:val="white"/>
        </w:rPr>
        <w:t xml:space="preserve">.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pStyle w:val="981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2.1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1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.1.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информационного взаимодействия, приведен в приложении к настоящему регламенту (таблица № 2).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981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2.1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1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.2. Формы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запроса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и документов приведены в приложении к настоящему регламенту.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981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981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highlight w:val="white"/>
          <w:u w:val="single"/>
        </w:rPr>
        <w:t xml:space="preserve">2.12. Исчерпывающий перечень оснований для отказа в приеме документов, необходимых для предоставления муниципальной услуги (в том числе представленных в электронной форме),</w:t>
      </w:r>
      <w:r>
        <w:rPr>
          <w:rFonts w:ascii="Times New Roman" w:hAnsi="Times New Roman" w:cs="Times New Roman"/>
          <w:color w:val="000000"/>
          <w:sz w:val="28"/>
          <w:highlight w:val="white"/>
          <w:u w:val="single"/>
        </w:rPr>
        <w:t xml:space="preserve"> исчерпывающий перечень оснований для приостановления предоставления муниципальной услуги, исчерпывающий перечень оснований для отказа в предоставлении муниципальной услуги.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pStyle w:val="981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Исчерпывающий перечень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оставлении муниципальной услуги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приведены в приложении к настоящему регламенту (таблица № 3).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tabs>
          <w:tab w:val="left" w:pos="142" w:leader="none"/>
          <w:tab w:val="left" w:pos="284" w:leader="none"/>
          <w:tab w:val="left" w:pos="1134" w:leader="none"/>
        </w:tabs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pStyle w:val="960"/>
        <w:numPr>
          <w:ilvl w:val="0"/>
          <w:numId w:val="34"/>
        </w:numPr>
        <w:keepNext w:val="0"/>
        <w:spacing w:line="240" w:lineRule="auto"/>
        <w:widowControl w:val="off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highlight w:val="white"/>
        </w:rPr>
        <w:t xml:space="preserve">Состав, последовательность и сроки выполн</w:t>
      </w:r>
      <w:r>
        <w:rPr>
          <w:rFonts w:ascii="Times New Roman" w:hAnsi="Times New Roman"/>
          <w:highlight w:val="white"/>
        </w:rPr>
        <w:t xml:space="preserve">ения административных процедур.</w:t>
      </w:r>
      <w:r>
        <w:rPr>
          <w:rFonts w:ascii="Times New Roman" w:hAnsi="Times New Roman"/>
          <w:highlight w:val="white"/>
        </w:rPr>
      </w:r>
      <w:r>
        <w:rPr>
          <w:rFonts w:ascii="Times New Roman" w:hAnsi="Times New Roman"/>
          <w:highlight w:val="white"/>
        </w:rPr>
      </w:r>
    </w:p>
    <w:p>
      <w:pPr>
        <w:ind w:firstLine="709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3.1. Перечень осуществляемых при предоставлении муниципальной услуги административных процедур</w:t>
      </w:r>
      <w:r>
        <w:rPr>
          <w:sz w:val="28"/>
          <w:szCs w:val="28"/>
          <w:highlight w:val="white"/>
        </w:rPr>
        <w:t xml:space="preserve">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а) профилирование заявителя;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б) прием </w:t>
      </w:r>
      <w:r>
        <w:rPr>
          <w:sz w:val="28"/>
          <w:szCs w:val="28"/>
          <w:highlight w:val="white"/>
        </w:rPr>
        <w:t xml:space="preserve">запрос</w:t>
      </w:r>
      <w:r>
        <w:rPr>
          <w:sz w:val="28"/>
          <w:szCs w:val="28"/>
          <w:highlight w:val="white"/>
        </w:rPr>
        <w:t xml:space="preserve">а</w:t>
      </w:r>
      <w:r>
        <w:rPr>
          <w:sz w:val="28"/>
          <w:szCs w:val="28"/>
          <w:highlight w:val="white"/>
        </w:rPr>
        <w:t xml:space="preserve"> и документов;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в) межведомственное информационное взаимодействие;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sz w:val="28"/>
          <w:szCs w:val="28"/>
          <w:highlight w:val="white"/>
        </w:rPr>
        <w:t xml:space="preserve">г) </w:t>
      </w:r>
      <w:r>
        <w:rPr>
          <w:sz w:val="28"/>
          <w:szCs w:val="28"/>
          <w:highlight w:val="white"/>
        </w:rPr>
        <w:t xml:space="preserve">принятие решения о предоставлении (отказе в предоставлении</w:t>
      </w:r>
      <w:r>
        <w:rPr>
          <w:sz w:val="28"/>
          <w:szCs w:val="28"/>
          <w:highlight w:val="white"/>
        </w:rPr>
        <w:t xml:space="preserve">) муниципальной услуги;</w:t>
      </w:r>
      <w:r>
        <w:rPr>
          <w:highlight w:val="white"/>
        </w:rPr>
      </w:r>
    </w:p>
    <w:p>
      <w:pPr>
        <w:pStyle w:val="997"/>
        <w:ind w:left="0" w:firstLine="709"/>
        <w:spacing w:after="0" w:line="240" w:lineRule="auto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д) предоставление </w:t>
      </w:r>
      <w:r>
        <w:rPr>
          <w:rFonts w:ascii="Times New Roman" w:hAnsi="Times New Roman"/>
          <w:sz w:val="28"/>
          <w:szCs w:val="28"/>
          <w:highlight w:val="white"/>
        </w:rPr>
        <w:t xml:space="preserve">результата муниципальной услуги.</w:t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pStyle w:val="997"/>
        <w:ind w:left="0" w:firstLine="709"/>
        <w:spacing w:after="0" w:line="240" w:lineRule="auto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3.2. Профилирование заявителя</w:t>
      </w:r>
      <w:r>
        <w:rPr>
          <w:b/>
          <w:sz w:val="28"/>
          <w:szCs w:val="28"/>
          <w:highlight w:val="white"/>
        </w:rPr>
        <w:t xml:space="preserve">.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ind w:firstLine="709"/>
        <w:jc w:val="both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3.2.1. 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3.2.2. </w:t>
      </w:r>
      <w:r>
        <w:rPr>
          <w:sz w:val="28"/>
          <w:szCs w:val="28"/>
          <w:highlight w:val="white"/>
        </w:rPr>
        <w:t xml:space="preserve">По результа</w:t>
      </w:r>
      <w:r>
        <w:rPr>
          <w:sz w:val="28"/>
          <w:szCs w:val="28"/>
          <w:highlight w:val="white"/>
        </w:rPr>
        <w:t xml:space="preserve">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муниципальной услуги. 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3.2.3. </w:t>
      </w:r>
      <w:r>
        <w:rPr>
          <w:sz w:val="28"/>
          <w:szCs w:val="28"/>
          <w:highlight w:val="white"/>
        </w:rPr>
        <w:t xml:space="preserve">Идентификаторы категорий (признаков) заявителей приведены в приложении к настоящему регламенту (таблица № 1).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97"/>
        <w:ind w:left="0" w:firstLine="709"/>
        <w:spacing w:after="0"/>
        <w:rPr>
          <w:rFonts w:ascii="Times New Roman" w:hAnsi="Times New Roman"/>
          <w:b/>
          <w:sz w:val="28"/>
          <w:szCs w:val="28"/>
          <w:highlight w:val="white"/>
        </w:rPr>
      </w:pPr>
      <w:r>
        <w:rPr>
          <w:rFonts w:ascii="Times New Roman" w:hAnsi="Times New Roman"/>
          <w:b/>
          <w:sz w:val="28"/>
          <w:szCs w:val="28"/>
          <w:highlight w:val="white"/>
        </w:rPr>
        <w:t xml:space="preserve">3.3. Прием запроса и документов и (или) информации, необходимых для предоставления муниципальной услуги.</w:t>
      </w:r>
      <w:r>
        <w:rPr>
          <w:rFonts w:ascii="Times New Roman" w:hAnsi="Times New Roman"/>
          <w:b/>
          <w:sz w:val="28"/>
          <w:szCs w:val="28"/>
          <w:highlight w:val="white"/>
        </w:rPr>
      </w:r>
      <w:r>
        <w:rPr>
          <w:rFonts w:ascii="Times New Roman" w:hAnsi="Times New Roman"/>
          <w:b/>
          <w:sz w:val="28"/>
          <w:szCs w:val="28"/>
          <w:highlight w:val="white"/>
        </w:rPr>
      </w:r>
    </w:p>
    <w:p>
      <w:pPr>
        <w:pStyle w:val="997"/>
        <w:ind w:left="0" w:firstLine="709"/>
        <w:spacing w:after="0"/>
        <w:rPr>
          <w:rFonts w:ascii="Times New Roman" w:hAnsi="Times New Roman"/>
          <w:b/>
          <w:sz w:val="28"/>
          <w:szCs w:val="28"/>
          <w:highlight w:val="white"/>
        </w:rPr>
      </w:pPr>
      <w:r>
        <w:rPr>
          <w:rFonts w:ascii="Times New Roman" w:hAnsi="Times New Roman"/>
          <w:b/>
          <w:sz w:val="28"/>
          <w:szCs w:val="28"/>
          <w:highlight w:val="white"/>
        </w:rPr>
      </w:r>
      <w:r>
        <w:rPr>
          <w:rFonts w:ascii="Times New Roman" w:hAnsi="Times New Roman"/>
          <w:b/>
          <w:sz w:val="28"/>
          <w:szCs w:val="28"/>
          <w:highlight w:val="white"/>
        </w:rPr>
      </w:r>
      <w:r>
        <w:rPr>
          <w:rFonts w:ascii="Times New Roman" w:hAnsi="Times New Roman"/>
          <w:b/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3.3.1. Состав запроса и перечень документов и 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запроса, документов </w:t>
      </w:r>
      <w:r>
        <w:rPr>
          <w:sz w:val="28"/>
          <w:szCs w:val="28"/>
          <w:highlight w:val="white"/>
        </w:rPr>
        <w:t xml:space="preserve">и(</w:t>
      </w:r>
      <w:r>
        <w:rPr>
          <w:sz w:val="28"/>
          <w:szCs w:val="28"/>
          <w:highlight w:val="white"/>
        </w:rPr>
        <w:t xml:space="preserve">или) информации приведены в приложении к настоящему регламенту </w:t>
      </w:r>
      <w:hyperlink r:id="rId14" w:tooltip="https://login.consultant.ru/link/?req=doc&amp;base=SPB&amp;n=316702&amp;dst=101254" w:history="1">
        <w:r>
          <w:rPr>
            <w:sz w:val="28"/>
            <w:szCs w:val="28"/>
            <w:highlight w:val="white"/>
          </w:rPr>
          <w:t xml:space="preserve">(таблица  № 2)</w:t>
        </w:r>
      </w:hyperlink>
      <w:r>
        <w:rPr>
          <w:sz w:val="28"/>
          <w:szCs w:val="28"/>
          <w:highlight w:val="white"/>
        </w:rPr>
        <w:t xml:space="preserve">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3.3.2.</w:t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 xml:space="preserve">В целях пред</w:t>
      </w:r>
      <w:r>
        <w:rPr>
          <w:sz w:val="28"/>
          <w:szCs w:val="28"/>
          <w:highlight w:val="white"/>
        </w:rPr>
        <w:t xml:space="preserve">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</w:t>
      </w:r>
      <w:r>
        <w:rPr>
          <w:sz w:val="28"/>
          <w:szCs w:val="28"/>
          <w:highlight w:val="white"/>
        </w:rPr>
        <w:t xml:space="preserve">Российской Федерации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 статьями 9, 10 и 14 Федерального закона от 29 декабря 2022 года № 572-ФЗ «Об</w:t>
      </w:r>
      <w:r>
        <w:rPr>
          <w:sz w:val="28"/>
          <w:szCs w:val="28"/>
          <w:highlight w:val="white"/>
        </w:rPr>
        <w:t xml:space="preserve"> осуществлении идентификации </w:t>
      </w:r>
      <w:r>
        <w:rPr>
          <w:sz w:val="28"/>
          <w:szCs w:val="28"/>
          <w:highlight w:val="white"/>
        </w:rPr>
        <w:t xml:space="preserve">и(</w:t>
      </w:r>
      <w:r>
        <w:rPr>
          <w:sz w:val="28"/>
          <w:szCs w:val="28"/>
          <w:highlight w:val="white"/>
        </w:rPr>
        <w:t xml:space="preserve">или) аутентификации физических лиц с использованием биометрических персонал</w:t>
      </w:r>
      <w:r>
        <w:rPr>
          <w:sz w:val="28"/>
          <w:szCs w:val="28"/>
          <w:highlight w:val="white"/>
        </w:rPr>
        <w:t xml:space="preserve">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(далее – Федеральный закон № 572-ФЗ) (при наличии технической возможности).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При предоставлении муниципальной услуги в электронной форме идентификация и аутентификация могут осуществляться посредством: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1) единой системы идентификации и аутентификации или иных государственных информационных систем, если такие государ</w:t>
      </w:r>
      <w:r>
        <w:rPr>
          <w:sz w:val="28"/>
          <w:szCs w:val="28"/>
          <w:highlight w:val="white"/>
        </w:rPr>
        <w:t xml:space="preserve">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2) информационных технологий, предусмотренных статьями 9, 10 и 14 Федерального закона № 572-ФЗ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3.3.3. Основания для принятия решения об отказе в приеме запроса и документов и (или) информации приведены в приложении к настоящему регламенту (таблица № 3).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3.3.4. </w:t>
      </w:r>
      <w:r>
        <w:rPr>
          <w:sz w:val="28"/>
          <w:szCs w:val="28"/>
          <w:highlight w:val="white"/>
        </w:rPr>
        <w:t xml:space="preserve">Возможность приема </w:t>
      </w:r>
      <w:r>
        <w:rPr>
          <w:sz w:val="28"/>
          <w:szCs w:val="28"/>
          <w:highlight w:val="white"/>
        </w:rPr>
        <w:t xml:space="preserve">администрацией</w:t>
      </w:r>
      <w:r>
        <w:rPr>
          <w:sz w:val="28"/>
          <w:szCs w:val="28"/>
          <w:highlight w:val="white"/>
        </w:rPr>
        <w:t xml:space="preserve"> или МФЦ запроса и документов и (или) информации, необходимых для предоста</w:t>
      </w:r>
      <w:r>
        <w:rPr>
          <w:sz w:val="28"/>
          <w:szCs w:val="28"/>
          <w:highlight w:val="white"/>
        </w:rPr>
        <w:t xml:space="preserve">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3.3.5</w:t>
      </w:r>
      <w:r>
        <w:rPr>
          <w:sz w:val="28"/>
          <w:szCs w:val="28"/>
          <w:highlight w:val="white"/>
        </w:rPr>
        <w:t xml:space="preserve">. </w:t>
      </w:r>
      <w:r>
        <w:rPr>
          <w:sz w:val="28"/>
          <w:szCs w:val="28"/>
          <w:highlight w:val="white"/>
        </w:rPr>
        <w:t xml:space="preserve">Срок регистрации запроса и документов и (или) информации, необходимых для предоставления муниципальной услуги, в </w:t>
      </w:r>
      <w:r>
        <w:rPr>
          <w:sz w:val="28"/>
          <w:szCs w:val="28"/>
          <w:highlight w:val="white"/>
        </w:rPr>
        <w:t xml:space="preserve">администрации</w:t>
      </w:r>
      <w:r>
        <w:rPr>
          <w:sz w:val="28"/>
          <w:szCs w:val="28"/>
          <w:highlight w:val="white"/>
        </w:rPr>
        <w:t xml:space="preserve"> или  МФЦ составляет: при личном обращении в </w:t>
      </w:r>
      <w:r>
        <w:rPr>
          <w:sz w:val="28"/>
          <w:szCs w:val="28"/>
          <w:highlight w:val="white"/>
        </w:rPr>
        <w:t xml:space="preserve">администрацию</w:t>
      </w:r>
      <w:r>
        <w:rPr>
          <w:sz w:val="28"/>
          <w:szCs w:val="28"/>
          <w:highlight w:val="white"/>
        </w:rPr>
        <w:t xml:space="preserve">, при напра</w:t>
      </w:r>
      <w:r>
        <w:rPr>
          <w:sz w:val="28"/>
          <w:szCs w:val="28"/>
          <w:highlight w:val="white"/>
        </w:rPr>
        <w:t xml:space="preserve">влении запроса почтовой связью, при направлении запроса в форме электронного документа посредством Единого портала, – в день поступления запроса или на следующий рабочий день (в случае направления документов в нерабочее время, в выходные, праздничные дни);</w:t>
      </w:r>
      <w:r>
        <w:rPr>
          <w:sz w:val="28"/>
          <w:szCs w:val="28"/>
          <w:highlight w:val="white"/>
        </w:rPr>
        <w:t xml:space="preserve"> при направлении запроса из МФЦ в </w:t>
      </w:r>
      <w:r>
        <w:rPr>
          <w:sz w:val="28"/>
          <w:szCs w:val="28"/>
          <w:highlight w:val="white"/>
        </w:rPr>
        <w:t xml:space="preserve">администрацию</w:t>
      </w:r>
      <w:r>
        <w:rPr>
          <w:sz w:val="28"/>
          <w:szCs w:val="28"/>
          <w:highlight w:val="white"/>
        </w:rPr>
        <w:t xml:space="preserve"> на бумажном носителе – в день передачи документов.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3.4. Межведомственное информационное взаимодействие.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ind w:firstLine="709"/>
        <w:jc w:val="both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Для получения муниципальной услуги необходимо направление посредством федеральной государственной информационной системы «Единая система межведомственного электронного взаимодействия» следующих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межведомственных информационных запросов: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1)</w:t>
      </w:r>
      <w:r>
        <w:rPr>
          <w:sz w:val="28"/>
          <w:szCs w:val="28"/>
          <w:highlight w:val="white"/>
        </w:rPr>
        <w:t xml:space="preserve"> Сведения</w:t>
      </w:r>
      <w:r>
        <w:rPr>
          <w:sz w:val="28"/>
          <w:szCs w:val="28"/>
          <w:highlight w:val="white"/>
        </w:rPr>
        <w:t xml:space="preserve"> из Единого государственного реестра недвижимости о правах на помещение</w:t>
      </w:r>
      <w:r>
        <w:rPr>
          <w:sz w:val="28"/>
          <w:szCs w:val="28"/>
          <w:highlight w:val="white"/>
        </w:rPr>
        <w:t xml:space="preserve">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2)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Технический паспорт жилого помещения, а для нежилых помещений - технический план - </w:t>
      </w:r>
      <w:r>
        <w:rPr>
          <w:sz w:val="28"/>
          <w:szCs w:val="28"/>
          <w:highlight w:val="white"/>
        </w:rPr>
        <w:t xml:space="preserve">Ленинградское областное государственное бюджетное учреждение технической инвентаризации и оценки недв</w:t>
      </w:r>
      <w:r>
        <w:rPr>
          <w:sz w:val="28"/>
          <w:szCs w:val="28"/>
          <w:highlight w:val="white"/>
        </w:rPr>
        <w:t xml:space="preserve">ижимости «</w:t>
      </w:r>
      <w:r>
        <w:rPr>
          <w:sz w:val="28"/>
          <w:szCs w:val="28"/>
          <w:highlight w:val="white"/>
        </w:rPr>
        <w:t xml:space="preserve">Леноблинвентаризация</w:t>
      </w:r>
      <w:r>
        <w:rPr>
          <w:sz w:val="28"/>
          <w:szCs w:val="28"/>
          <w:highlight w:val="white"/>
        </w:rPr>
        <w:t xml:space="preserve">»</w:t>
      </w:r>
      <w:r>
        <w:rPr>
          <w:sz w:val="28"/>
          <w:szCs w:val="28"/>
          <w:highlight w:val="white"/>
        </w:rPr>
        <w:t xml:space="preserve">;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3)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Заключения (акты) соответствующих органов государственного надзора (контроля) в случае, если представление указанных документов согласно п. 44 Положения, является необходимым для принятия решения о признании жилого помещения непригодным для проживания</w:t>
      </w:r>
      <w:r>
        <w:rPr>
          <w:sz w:val="28"/>
          <w:szCs w:val="28"/>
          <w:highlight w:val="white"/>
        </w:rPr>
        <w:t xml:space="preserve">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b/>
          <w:bCs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3.5. Принятие решения о предоставлении (отказе в предос</w:t>
      </w:r>
      <w:r>
        <w:rPr>
          <w:b/>
          <w:sz w:val="28"/>
          <w:szCs w:val="28"/>
          <w:highlight w:val="white"/>
        </w:rPr>
        <w:t xml:space="preserve">тавлении) муниципальной услуги.</w:t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ind w:firstLine="709"/>
        <w:jc w:val="both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Основания для отказа в предоставлении муниципальной услуги </w:t>
      </w:r>
      <w:r>
        <w:rPr>
          <w:sz w:val="28"/>
          <w:szCs w:val="28"/>
          <w:highlight w:val="white"/>
        </w:rPr>
        <w:t xml:space="preserve">приведены в приложении к настоящему регламенту (таблица № 3).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1003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highlight w:val="white"/>
          <w:lang w:val="ru-RU"/>
        </w:rPr>
        <w:t xml:space="preserve">Принятие решения о предоставлении (об отказе в предоставлении) муниципальной услуги осуществляется в срок, не превышающий одного рабочего дня с даты получения Администрацией всех сведений, необходимых для принятия решения.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709"/>
        <w:jc w:val="both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both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3.6. Предоставление р</w:t>
      </w:r>
      <w:r>
        <w:rPr>
          <w:b/>
          <w:sz w:val="28"/>
          <w:szCs w:val="28"/>
          <w:highlight w:val="white"/>
        </w:rPr>
        <w:t xml:space="preserve">езультата муниципальной услуги.</w:t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ind w:firstLine="709"/>
        <w:jc w:val="both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  <w:r>
        <w:rPr>
          <w:b/>
          <w:sz w:val="28"/>
          <w:szCs w:val="28"/>
          <w:highlight w:val="white"/>
        </w:rPr>
      </w:r>
    </w:p>
    <w:p>
      <w:pPr>
        <w:pStyle w:val="1003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8"/>
          <w:highlight w:val="white"/>
          <w:lang w:val="ru-RU"/>
        </w:rPr>
        <w:t xml:space="preserve">Решение о предоставлении (об отказе в предоставлении) муниципальной услуги представляется в форме документа на бумажном носителе или электронного документа, </w:t>
      </w:r>
      <w:r>
        <w:rPr>
          <w:rFonts w:ascii="Times New Roman" w:hAnsi="Times New Roman" w:cs="Times New Roman"/>
          <w:sz w:val="28"/>
          <w:highlight w:val="white"/>
          <w:lang w:val="ru-RU"/>
        </w:rPr>
        <w:t xml:space="preserve"> способом, указанным заявителем в заявлении в срок, не превышающий 1 рабочего дня со дня принятия решения о предоставлении муниципальной услуги, но не позднее общего срока предоставления муниципальной услуги.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997"/>
        <w:ind w:left="0"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Возможность предоставления </w:t>
      </w:r>
      <w:r>
        <w:rPr>
          <w:rFonts w:ascii="Times New Roman" w:hAnsi="Times New Roman"/>
          <w:sz w:val="28"/>
          <w:szCs w:val="28"/>
          <w:highlight w:val="white"/>
        </w:rPr>
        <w:t xml:space="preserve">администрацией</w:t>
      </w:r>
      <w:r>
        <w:rPr>
          <w:rFonts w:ascii="Times New Roman" w:hAnsi="Times New Roman"/>
          <w:sz w:val="28"/>
          <w:szCs w:val="28"/>
          <w:highlight w:val="white"/>
        </w:rPr>
        <w:t xml:space="preserve"> или </w:t>
      </w:r>
      <w:r>
        <w:rPr>
          <w:rFonts w:ascii="Times New Roman" w:hAnsi="Times New Roman"/>
          <w:sz w:val="28"/>
          <w:szCs w:val="28"/>
          <w:highlight w:val="white"/>
        </w:rPr>
        <w:t xml:space="preserve">МФЦ</w:t>
      </w:r>
      <w:r>
        <w:rPr>
          <w:rFonts w:ascii="Times New Roman" w:hAnsi="Times New Roman"/>
          <w:sz w:val="28"/>
          <w:szCs w:val="28"/>
          <w:highlight w:val="white"/>
        </w:rPr>
        <w:t xml:space="preserve"> результата муниципальной услуги по выбору заявителя независимо от его места жительства либо места </w:t>
      </w:r>
      <w:r>
        <w:rPr>
          <w:rFonts w:ascii="Times New Roman" w:hAnsi="Times New Roman"/>
          <w:sz w:val="28"/>
          <w:szCs w:val="28"/>
          <w:highlight w:val="white"/>
        </w:rPr>
        <w:t xml:space="preserve">пребывания</w:t>
      </w:r>
      <w:r>
        <w:rPr>
          <w:rFonts w:ascii="Times New Roman" w:hAnsi="Times New Roman"/>
          <w:sz w:val="28"/>
          <w:szCs w:val="28"/>
          <w:highlight w:val="white"/>
        </w:rPr>
        <w:t xml:space="preserve"> либо места нахождения не предусмотрена.</w:t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b/>
          <w:color w:val="000000" w:themeColor="text1"/>
          <w:sz w:val="28"/>
          <w:szCs w:val="28"/>
          <w:highlight w:val="white"/>
        </w:rPr>
      </w:pPr>
      <w:r>
        <w:rPr>
          <w:b/>
          <w:color w:val="000000" w:themeColor="text1"/>
          <w:sz w:val="28"/>
          <w:szCs w:val="28"/>
          <w:highlight w:val="white"/>
        </w:rPr>
        <w:t xml:space="preserve">4. Способы информирования заявителя об изменении статуса рассмотрения запроса о предоставлении муниципальной услуги.</w:t>
      </w:r>
      <w:r>
        <w:rPr>
          <w:b/>
          <w:color w:val="000000" w:themeColor="text1"/>
          <w:sz w:val="28"/>
          <w:szCs w:val="28"/>
          <w:highlight w:val="white"/>
        </w:rPr>
      </w:r>
      <w:r>
        <w:rPr>
          <w:b/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Перечень способов информирования заявителя об изменении статуса рассмотрения </w:t>
      </w:r>
      <w:r>
        <w:rPr>
          <w:color w:val="000000" w:themeColor="text1"/>
          <w:sz w:val="28"/>
          <w:szCs w:val="28"/>
          <w:highlight w:val="white"/>
        </w:rPr>
        <w:t xml:space="preserve">запроса</w:t>
      </w:r>
      <w:r>
        <w:rPr>
          <w:color w:val="000000" w:themeColor="text1"/>
          <w:sz w:val="28"/>
          <w:szCs w:val="28"/>
          <w:highlight w:val="white"/>
        </w:rPr>
        <w:t xml:space="preserve">: 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ind w:firstLine="709"/>
        <w:jc w:val="both"/>
        <w:widowControl w:val="off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а) посредством Единого портала. </w:t>
      </w:r>
      <w:r>
        <w:rPr>
          <w:color w:val="000000" w:themeColor="text1"/>
          <w:sz w:val="28"/>
          <w:szCs w:val="28"/>
          <w:highlight w:val="white"/>
        </w:rPr>
      </w:r>
      <w:r>
        <w:rPr>
          <w:color w:val="000000" w:themeColor="text1"/>
          <w:sz w:val="28"/>
          <w:szCs w:val="28"/>
          <w:highlight w:val="white"/>
        </w:rPr>
      </w:r>
    </w:p>
    <w:p>
      <w:pPr>
        <w:pStyle w:val="99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spacing w:after="200" w:line="276" w:lineRule="auto"/>
        <w:rPr>
          <w:highlight w:val="white"/>
        </w:rPr>
      </w:pPr>
      <w:r>
        <w:rPr>
          <w:highlight w:val="white"/>
        </w:rPr>
        <w:br w:type="page" w:clear="all"/>
      </w:r>
      <w:r>
        <w:rPr>
          <w:highlight w:val="white"/>
        </w:rPr>
      </w:r>
    </w:p>
    <w:p>
      <w:pPr>
        <w:jc w:val="right"/>
        <w:rPr>
          <w:highlight w:val="white"/>
        </w:rPr>
        <w:outlineLvl w:val="0"/>
      </w:pPr>
      <w:r>
        <w:rPr>
          <w:highlight w:val="white"/>
        </w:rPr>
        <w:t xml:space="preserve">Приложение</w:t>
      </w:r>
      <w:r>
        <w:rPr>
          <w:highlight w:val="white"/>
        </w:rPr>
      </w:r>
    </w:p>
    <w:p>
      <w:pPr>
        <w:jc w:val="right"/>
        <w:rPr>
          <w:highlight w:val="white"/>
        </w:rPr>
        <w:outlineLvl w:val="0"/>
      </w:pP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  <w:t xml:space="preserve">к Административному регламенту</w:t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  <w:t xml:space="preserve">по предоставлению</w:t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  <w:t xml:space="preserve">муниципальной услуги</w:t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  <w:t xml:space="preserve">___________________________</w:t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  <w:t xml:space="preserve">(наименование услуги)</w:t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ПЕРЕЧЕНЬ</w:t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условных обозначений и сокращений, Идентификаторы категорий</w:t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(признаков) заявителей, Исчерпывающий перечень документов,</w:t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необходимых</w:t>
      </w:r>
      <w:r>
        <w:rPr>
          <w:highlight w:val="white"/>
        </w:rPr>
        <w:t xml:space="preserve"> для предоставлении муниципальной услуги,</w:t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Исчерпывающий перечень оснований для отказа в приеме запроса</w:t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о предоставлении муниципальной услуги и документов,</w:t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необходимых для предоставления услуги, оснований</w:t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для приостановления предоставления муниципальной услуги</w:t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или отказа в предоставлении муниципальной услуги, Формы</w:t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запроса о предоставлении муниципальной услуги</w:t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и документов, необходимых для предоставления</w:t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муниципальной услуги</w:t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highlight w:val="white"/>
        </w:rPr>
        <w:outlineLvl w:val="1"/>
      </w:pPr>
      <w:r>
        <w:rPr>
          <w:b/>
          <w:bCs/>
          <w:highlight w:val="white"/>
        </w:rPr>
        <w:t xml:space="preserve">I. Перечень условных обозначений и сокращений</w:t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  <w:t xml:space="preserve">1. Условные сокращения:</w:t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  <w:t xml:space="preserve">а</w:t>
      </w:r>
      <w:r>
        <w:rPr>
          <w:highlight w:val="white"/>
        </w:rPr>
        <w:t xml:space="preserve">) </w:t>
      </w:r>
      <w:r>
        <w:rPr>
          <w:highlight w:val="white"/>
        </w:rPr>
        <w:t xml:space="preserve">ЕП</w:t>
      </w:r>
      <w:r>
        <w:rPr>
          <w:highlight w:val="white"/>
        </w:rPr>
        <w:t xml:space="preserve">, ЕПГУ – федеральная государственная информационная система «Единый портал государственных и муниципальных услуг (функций)»;</w:t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  <w:t xml:space="preserve">б</w:t>
      </w:r>
      <w:r>
        <w:rPr>
          <w:highlight w:val="white"/>
        </w:rPr>
        <w:t xml:space="preserve">) МФЦ, ГБУ ЛО «МФЦ» –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  <w:t xml:space="preserve">2. Условные обозначения:</w:t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  <w:t xml:space="preserve">а) [Все] – документы представляются всеми заявителями, обращающимися за получением муниципальной услуги;</w:t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  <w:t xml:space="preserve">в</w:t>
      </w:r>
      <w:r>
        <w:rPr>
          <w:highlight w:val="white"/>
        </w:rPr>
        <w:t xml:space="preserve">) ЕПГУ – документы подаются посредством портала;</w:t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  <w:t xml:space="preserve">г</w:t>
      </w:r>
      <w:r>
        <w:rPr>
          <w:highlight w:val="white"/>
        </w:rPr>
        <w:t xml:space="preserve">) ПС – документы подаются посредством почтовой связи;</w:t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  <w:t xml:space="preserve">д</w:t>
      </w:r>
      <w:r>
        <w:rPr>
          <w:highlight w:val="white"/>
        </w:rPr>
        <w:t xml:space="preserve">) Л - документы подаются при личном посещении </w:t>
      </w:r>
      <w:r>
        <w:rPr>
          <w:highlight w:val="white"/>
        </w:rPr>
        <w:t xml:space="preserve">Администрации</w:t>
      </w:r>
      <w:r>
        <w:rPr>
          <w:highlight w:val="white"/>
        </w:rPr>
        <w:t xml:space="preserve">, МФЦ;</w:t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  <w:t xml:space="preserve">е</w:t>
      </w:r>
      <w:r>
        <w:rPr>
          <w:highlight w:val="white"/>
        </w:rPr>
        <w:t xml:space="preserve">) О – представляется оригинал документа;</w:t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  <w:t xml:space="preserve">ж</w:t>
      </w:r>
      <w:r>
        <w:rPr>
          <w:highlight w:val="white"/>
        </w:rPr>
        <w:t xml:space="preserve">)</w:t>
      </w:r>
      <w:r>
        <w:rPr>
          <w:highlight w:val="white"/>
        </w:rPr>
        <w:t xml:space="preserve"> </w:t>
      </w:r>
      <w:r>
        <w:rPr>
          <w:highlight w:val="white"/>
        </w:rPr>
        <w:t xml:space="preserve">О(</w:t>
      </w:r>
      <w:r>
        <w:rPr>
          <w:highlight w:val="white"/>
        </w:rPr>
        <w:t xml:space="preserve">э) – представляется оригинал документа в электронной форме;</w:t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  <w:t xml:space="preserve">з</w:t>
      </w:r>
      <w:r>
        <w:rPr>
          <w:highlight w:val="white"/>
        </w:rPr>
        <w:t xml:space="preserve">) </w:t>
      </w:r>
      <w:r>
        <w:rPr>
          <w:highlight w:val="white"/>
        </w:rPr>
        <w:t xml:space="preserve">К</w:t>
      </w:r>
      <w:r>
        <w:rPr>
          <w:highlight w:val="white"/>
        </w:rPr>
        <w:t xml:space="preserve"> – представляется копия документа;</w:t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  <w:t xml:space="preserve">и</w:t>
      </w:r>
      <w:r>
        <w:rPr>
          <w:highlight w:val="white"/>
        </w:rPr>
        <w:t xml:space="preserve">) </w:t>
      </w:r>
      <w:r>
        <w:rPr>
          <w:highlight w:val="white"/>
        </w:rPr>
        <w:t xml:space="preserve">К(</w:t>
      </w:r>
      <w:r>
        <w:rPr>
          <w:highlight w:val="white"/>
        </w:rPr>
        <w:t xml:space="preserve">э) – представляется копия документа в электронной форме;</w:t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  <w:t xml:space="preserve">к</w:t>
      </w:r>
      <w:r>
        <w:rPr>
          <w:highlight w:val="white"/>
        </w:rPr>
        <w:t xml:space="preserve">) Д(1) – документы представляются в од</w:t>
      </w:r>
      <w:r>
        <w:rPr>
          <w:highlight w:val="white"/>
        </w:rPr>
        <w:t xml:space="preserve">ном экземпляре.</w:t>
      </w:r>
      <w:r>
        <w:rPr>
          <w:highlight w:val="white"/>
        </w:rPr>
        <w:br w:type="page" w:clear="all"/>
      </w:r>
      <w:r>
        <w:rPr>
          <w:highlight w:val="white"/>
        </w:rPr>
      </w:r>
    </w:p>
    <w:p>
      <w:pPr>
        <w:jc w:val="center"/>
        <w:rPr>
          <w:rFonts w:eastAsiaTheme="minorHAnsi"/>
          <w:b/>
          <w:bCs/>
          <w:highlight w:val="white"/>
        </w:rPr>
        <w:outlineLvl w:val="0"/>
      </w:pPr>
      <w:r>
        <w:rPr>
          <w:rFonts w:eastAsiaTheme="minorHAnsi"/>
          <w:b/>
          <w:bCs/>
          <w:highlight w:val="white"/>
          <w:lang w:eastAsia="en-US"/>
        </w:rPr>
        <w:t xml:space="preserve">II. Идентификаторы категорий (признаков) заявителей</w:t>
      </w:r>
      <w:r>
        <w:rPr>
          <w:rFonts w:eastAsiaTheme="minorHAnsi"/>
          <w:b/>
          <w:bCs/>
          <w:highlight w:val="white"/>
          <w:lang w:eastAsia="en-US"/>
        </w:rPr>
      </w:r>
      <w:r>
        <w:rPr>
          <w:rFonts w:eastAsiaTheme="minorHAnsi"/>
          <w:b/>
          <w:bCs/>
          <w:highlight w:val="white"/>
        </w:rPr>
      </w:r>
    </w:p>
    <w:p>
      <w:pPr>
        <w:jc w:val="center"/>
        <w:rPr>
          <w:rFonts w:eastAsiaTheme="minorHAnsi"/>
          <w:b/>
          <w:bCs/>
          <w:highlight w:val="white"/>
        </w:rPr>
      </w:pPr>
      <w:r>
        <w:rPr>
          <w:rFonts w:eastAsiaTheme="minorHAnsi"/>
          <w:b/>
          <w:bCs/>
          <w:highlight w:val="white"/>
          <w:lang w:eastAsia="en-US"/>
        </w:rPr>
        <w:t xml:space="preserve">(указываются в табличной форме и включают взаимосвязанные</w:t>
      </w:r>
      <w:r>
        <w:rPr>
          <w:rFonts w:eastAsiaTheme="minorHAnsi"/>
          <w:b/>
          <w:bCs/>
          <w:highlight w:val="white"/>
          <w:lang w:eastAsia="en-US"/>
        </w:rPr>
      </w:r>
      <w:r>
        <w:rPr>
          <w:rFonts w:eastAsiaTheme="minorHAnsi"/>
          <w:b/>
          <w:bCs/>
          <w:highlight w:val="white"/>
        </w:rPr>
      </w:r>
    </w:p>
    <w:p>
      <w:pPr>
        <w:jc w:val="center"/>
        <w:rPr>
          <w:rFonts w:eastAsiaTheme="minorHAnsi"/>
          <w:b/>
          <w:bCs/>
          <w:highlight w:val="white"/>
        </w:rPr>
      </w:pPr>
      <w:r>
        <w:rPr>
          <w:rFonts w:eastAsiaTheme="minorHAnsi"/>
          <w:b/>
          <w:bCs/>
          <w:highlight w:val="white"/>
          <w:lang w:eastAsia="en-US"/>
        </w:rPr>
        <w:t xml:space="preserve">сведения о перечне результатов предоставления</w:t>
      </w:r>
      <w:r>
        <w:rPr>
          <w:rFonts w:eastAsiaTheme="minorHAnsi"/>
          <w:b/>
          <w:bCs/>
          <w:highlight w:val="white"/>
          <w:lang w:eastAsia="en-US"/>
        </w:rPr>
      </w:r>
      <w:r>
        <w:rPr>
          <w:rFonts w:eastAsiaTheme="minorHAnsi"/>
          <w:b/>
          <w:bCs/>
          <w:highlight w:val="white"/>
        </w:rPr>
      </w:r>
    </w:p>
    <w:p>
      <w:pPr>
        <w:jc w:val="center"/>
        <w:rPr>
          <w:rFonts w:eastAsiaTheme="minorHAnsi"/>
          <w:b/>
          <w:bCs/>
          <w:highlight w:val="white"/>
        </w:rPr>
      </w:pPr>
      <w:r>
        <w:rPr>
          <w:rFonts w:eastAsiaTheme="minorHAnsi"/>
          <w:b/>
          <w:bCs/>
          <w:highlight w:val="white"/>
          <w:lang w:eastAsia="en-US"/>
        </w:rPr>
        <w:t xml:space="preserve">муниципальной</w:t>
      </w:r>
      <w:r>
        <w:rPr>
          <w:rFonts w:eastAsiaTheme="minorHAnsi"/>
          <w:b/>
          <w:bCs/>
          <w:highlight w:val="white"/>
          <w:lang w:eastAsia="en-US"/>
        </w:rPr>
        <w:t xml:space="preserve"> услуги и перечне </w:t>
      </w:r>
      <w:r>
        <w:rPr>
          <w:rFonts w:eastAsiaTheme="minorHAnsi"/>
          <w:b/>
          <w:bCs/>
          <w:highlight w:val="white"/>
          <w:lang w:eastAsia="en-US"/>
        </w:rPr>
        <w:t xml:space="preserve">отдельных</w:t>
      </w:r>
      <w:r>
        <w:rPr>
          <w:rFonts w:eastAsiaTheme="minorHAnsi"/>
          <w:b/>
          <w:bCs/>
          <w:highlight w:val="white"/>
          <w:lang w:eastAsia="en-US"/>
        </w:rPr>
      </w:r>
      <w:r>
        <w:rPr>
          <w:rFonts w:eastAsiaTheme="minorHAnsi"/>
          <w:b/>
          <w:bCs/>
          <w:highlight w:val="white"/>
        </w:rPr>
      </w:r>
    </w:p>
    <w:p>
      <w:pPr>
        <w:jc w:val="center"/>
        <w:rPr>
          <w:rFonts w:eastAsiaTheme="minorHAnsi"/>
          <w:b/>
          <w:bCs/>
          <w:highlight w:val="white"/>
        </w:rPr>
      </w:pPr>
      <w:r>
        <w:rPr>
          <w:rFonts w:eastAsiaTheme="minorHAnsi"/>
          <w:b/>
          <w:bCs/>
          <w:highlight w:val="white"/>
          <w:lang w:eastAsia="en-US"/>
        </w:rPr>
        <w:t xml:space="preserve">признаков заявителей)</w:t>
      </w:r>
      <w:r>
        <w:rPr>
          <w:rFonts w:eastAsiaTheme="minorHAnsi"/>
          <w:b/>
          <w:bCs/>
          <w:highlight w:val="white"/>
          <w:lang w:eastAsia="en-US"/>
        </w:rPr>
      </w:r>
      <w:r>
        <w:rPr>
          <w:rFonts w:eastAsiaTheme="minorHAnsi"/>
          <w:b/>
          <w:bCs/>
          <w:highlight w:val="white"/>
        </w:rPr>
      </w:r>
    </w:p>
    <w:p>
      <w:pPr>
        <w:rPr>
          <w:rFonts w:eastAsiaTheme="minorHAnsi"/>
          <w:highlight w:val="white"/>
        </w:rPr>
      </w:pPr>
      <w:r>
        <w:rPr>
          <w:rFonts w:eastAsiaTheme="minorHAnsi"/>
          <w:highlight w:val="white"/>
          <w:lang w:eastAsia="en-US"/>
        </w:rPr>
      </w:r>
      <w:r>
        <w:rPr>
          <w:rFonts w:eastAsiaTheme="minorHAnsi"/>
          <w:highlight w:val="white"/>
          <w:lang w:eastAsia="en-US"/>
        </w:rPr>
      </w:r>
      <w:r>
        <w:rPr>
          <w:rFonts w:eastAsiaTheme="minorHAnsi"/>
          <w:highlight w:val="white"/>
        </w:rPr>
      </w:r>
    </w:p>
    <w:p>
      <w:pPr>
        <w:jc w:val="right"/>
        <w:rPr>
          <w:rFonts w:eastAsiaTheme="minorHAnsi"/>
          <w:highlight w:val="white"/>
        </w:rPr>
      </w:pPr>
      <w:r>
        <w:rPr>
          <w:rFonts w:eastAsiaTheme="minorHAnsi"/>
          <w:highlight w:val="white"/>
          <w:lang w:eastAsia="en-US"/>
        </w:rPr>
        <w:t xml:space="preserve">Таблица N 1</w:t>
      </w:r>
      <w:r>
        <w:rPr>
          <w:rFonts w:eastAsiaTheme="minorHAnsi"/>
          <w:highlight w:val="white"/>
          <w:lang w:eastAsia="en-US"/>
        </w:rPr>
      </w:r>
      <w:r>
        <w:rPr>
          <w:rFonts w:eastAsiaTheme="minorHAnsi"/>
          <w:highlight w:val="white"/>
        </w:rPr>
      </w:r>
    </w:p>
    <w:p>
      <w:pPr>
        <w:pStyle w:val="99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tbl>
      <w:tblPr>
        <w:tblW w:w="0" w:type="auto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3289"/>
        <w:gridCol w:w="1807"/>
        <w:gridCol w:w="2089"/>
        <w:gridCol w:w="2861"/>
      </w:tblGrid>
      <w:tr>
        <w:tblPrEx/>
        <w:trPr>
          <w:trHeight w:val="654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0" w:type="auto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Наименование отдельного признака заявителя</w:t>
            </w:r>
            <w:r>
              <w:rPr>
                <w:highlight w:val="white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Результат предоставления муниципальной услуги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</w:tr>
      <w:tr>
        <w:tblPrEx/>
        <w:trPr>
          <w:trHeight w:val="1064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Призна</w:t>
            </w:r>
            <w:r>
              <w:rPr>
                <w:highlight w:val="white"/>
              </w:rPr>
              <w:t xml:space="preserve">ние помещения жилым помещением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Признание </w:t>
            </w:r>
            <w:r>
              <w:rPr>
                <w:bCs/>
                <w:highlight w:val="white"/>
              </w:rPr>
              <w:t xml:space="preserve">жилого помеще</w:t>
            </w:r>
            <w:r>
              <w:rPr>
                <w:bCs/>
                <w:highlight w:val="white"/>
              </w:rPr>
              <w:t xml:space="preserve">ния </w:t>
            </w:r>
            <w:r>
              <w:rPr>
                <w:bCs/>
                <w:highlight w:val="white"/>
              </w:rPr>
              <w:t xml:space="preserve">непригодным</w:t>
            </w:r>
            <w:r>
              <w:rPr>
                <w:bCs/>
                <w:highlight w:val="white"/>
              </w:rPr>
              <w:t xml:space="preserve"> для проживания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0" w:type="auto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Признание </w:t>
            </w:r>
            <w:r>
              <w:rPr>
                <w:bCs/>
                <w:highlight w:val="white"/>
              </w:rPr>
              <w:t xml:space="preserve">многоквартирного дома аварийным и подлежащим сносу или реконструкции.</w:t>
            </w:r>
            <w:r>
              <w:rPr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А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Б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В</w:t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Физическое лицо, обратившееся лично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1А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1Б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</w:t>
            </w:r>
            <w:r>
              <w:rPr>
                <w:highlight w:val="white"/>
              </w:rPr>
              <w:t xml:space="preserve">В</w:t>
            </w:r>
            <w:r>
              <w:rPr>
                <w:highlight w:val="white"/>
              </w:rPr>
            </w:r>
          </w:p>
        </w:tc>
      </w:tr>
      <w:tr>
        <w:tblPrEx/>
        <w:trPr>
          <w:trHeight w:val="102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Физическое лицо, от имени которого обратился уполномоченный представитель</w:t>
            </w:r>
            <w:r>
              <w:rPr>
                <w:highlight w:val="white"/>
              </w:rPr>
            </w:r>
          </w:p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2А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2Б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2</w:t>
            </w:r>
            <w:r>
              <w:rPr>
                <w:highlight w:val="white"/>
              </w:rPr>
              <w:t xml:space="preserve">В</w:t>
            </w:r>
            <w:r>
              <w:rPr>
                <w:highlight w:val="white"/>
              </w:rPr>
            </w:r>
          </w:p>
        </w:tc>
      </w:tr>
      <w:tr>
        <w:tblPrEx/>
        <w:trPr>
          <w:trHeight w:val="102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Юридическое лицо, от имени которого обратилось лицо, имеющее право действовать от имени юридического лица без доверенности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3А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3Б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3В</w:t>
            </w:r>
            <w:r>
              <w:rPr>
                <w:highlight w:val="white"/>
              </w:rPr>
            </w:r>
          </w:p>
        </w:tc>
      </w:tr>
      <w:tr>
        <w:tblPrEx/>
        <w:trPr>
          <w:trHeight w:val="102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Юридическое лицо, от имени которого обратился </w:t>
            </w:r>
            <w:r>
              <w:rPr>
                <w:highlight w:val="white"/>
              </w:rPr>
              <w:t xml:space="preserve">уполномоченный представитель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4А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4Б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4В</w:t>
            </w:r>
            <w:r>
              <w:rPr>
                <w:highlight w:val="white"/>
              </w:rPr>
            </w:r>
          </w:p>
        </w:tc>
      </w:tr>
    </w:tbl>
    <w:p>
      <w:pPr>
        <w:spacing w:after="200" w:line="276" w:lineRule="auto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spacing w:after="200" w:line="276" w:lineRule="auto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spacing w:after="200" w:line="276" w:lineRule="auto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spacing w:after="200" w:line="276" w:lineRule="auto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spacing w:after="200" w:line="276" w:lineRule="auto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spacing w:after="200" w:line="276" w:lineRule="auto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spacing w:after="200" w:line="276" w:lineRule="auto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spacing w:after="200" w:line="276" w:lineRule="auto"/>
        <w:rPr>
          <w:highlight w:val="white"/>
        </w:rPr>
      </w:pPr>
      <w:r>
        <w:rPr>
          <w:highlight w:val="white"/>
        </w:rPr>
        <w:br w:type="page" w:clear="all"/>
      </w:r>
      <w:r>
        <w:rPr>
          <w:highlight w:val="white"/>
        </w:rPr>
      </w:r>
    </w:p>
    <w:p>
      <w:pPr>
        <w:jc w:val="center"/>
        <w:rPr>
          <w:highlight w:val="white"/>
        </w:rPr>
        <w:outlineLvl w:val="1"/>
      </w:pPr>
      <w:r>
        <w:rPr>
          <w:b/>
          <w:bCs/>
          <w:highlight w:val="white"/>
        </w:rPr>
        <w:t xml:space="preserve">III. Исчерпывающий перечень документов, необходимых</w:t>
      </w:r>
      <w:r>
        <w:rPr>
          <w:highlight w:val="white"/>
        </w:rPr>
      </w:r>
    </w:p>
    <w:p>
      <w:pPr>
        <w:tabs>
          <w:tab w:val="center" w:pos="5103" w:leader="none"/>
          <w:tab w:val="left" w:pos="7980" w:leader="none"/>
        </w:tabs>
        <w:rPr>
          <w:highlight w:val="white"/>
        </w:rPr>
      </w:pPr>
      <w:r>
        <w:rPr>
          <w:b/>
          <w:bCs/>
          <w:highlight w:val="white"/>
        </w:rPr>
        <w:tab/>
        <w:t xml:space="preserve">для предоставления муниципальной услуги</w:t>
      </w:r>
      <w:r>
        <w:rPr>
          <w:b/>
          <w:bCs/>
          <w:highlight w:val="white"/>
        </w:rPr>
        <w:tab/>
      </w:r>
      <w:r>
        <w:rPr>
          <w:highlight w:val="white"/>
        </w:rPr>
      </w:r>
    </w:p>
    <w:p>
      <w:pPr>
        <w:ind w:firstLine="540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</w:r>
      <w:bookmarkStart w:id="8" w:name="Par87"/>
      <w:r>
        <w:rPr>
          <w:highlight w:val="white"/>
        </w:rPr>
      </w:r>
      <w:bookmarkEnd w:id="8"/>
      <w:r>
        <w:rPr>
          <w:highlight w:val="white"/>
        </w:rPr>
        <w:t xml:space="preserve">Таблица № 2</w:t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tbl>
      <w:tblPr>
        <w:tblW w:w="7155" w:type="pct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354"/>
        <w:gridCol w:w="4169"/>
        <w:gridCol w:w="1820"/>
        <w:gridCol w:w="2041"/>
        <w:gridCol w:w="1665"/>
        <w:gridCol w:w="4327"/>
      </w:tblGrid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 xml:space="preserve">№</w:t>
            </w:r>
            <w:r>
              <w:rPr>
                <w:rFonts w:eastAsiaTheme="minorHAnsi"/>
                <w:highlight w:val="white"/>
                <w:lang w:eastAsia="en-US"/>
              </w:rPr>
            </w:r>
            <w:r>
              <w:rPr>
                <w:rFonts w:eastAsiaTheme="minorHAnsi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Перечень необходимых для предоставления муниципальной услуги документов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Идентификатор категории (признаков) заявителей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Способы подачи документов, требования к представлению документов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Иные требования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</w:t>
            </w:r>
            <w:r>
              <w:rPr>
                <w:sz w:val="22"/>
                <w:highlight w:val="white"/>
              </w:rPr>
              <w:t xml:space="preserve">муниципальной услуги, которые заявитель должен представить самостоятельно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 xml:space="preserve">1.</w:t>
            </w:r>
            <w:r>
              <w:rPr>
                <w:rFonts w:eastAsiaTheme="minorHAnsi"/>
                <w:highlight w:val="white"/>
                <w:lang w:eastAsia="en-US"/>
              </w:rPr>
            </w:r>
            <w:r>
              <w:rPr>
                <w:rFonts w:eastAsiaTheme="minorHAnsi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0" w:type="pct"/>
            <w:vAlign w:val="center"/>
            <w:textDirection w:val="lrTb"/>
            <w:noWrap w:val="false"/>
          </w:tcPr>
          <w:p>
            <w:pPr>
              <w:ind w:firstLine="283"/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Запрос по форме согласно Образцу 1</w:t>
            </w:r>
            <w:r>
              <w:rPr>
                <w:sz w:val="22"/>
                <w:highlight w:val="white"/>
              </w:rPr>
              <w:t xml:space="preserve"> к административному регламенту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1А, 2А, 3А, 4А, 1Б, 2Б, 3Б, 4Б, 1В, 2В, 3В, 4В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ЕПГУ, ПС, Л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[Все], Д(1)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 xml:space="preserve">2.</w:t>
            </w:r>
            <w:r>
              <w:rPr>
                <w:rFonts w:eastAsiaTheme="minorHAnsi"/>
                <w:highlight w:val="white"/>
                <w:lang w:eastAsia="en-US"/>
              </w:rPr>
            </w:r>
            <w:r>
              <w:rPr>
                <w:rFonts w:eastAsiaTheme="minorHAnsi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0" w:type="pct"/>
            <w:vAlign w:val="center"/>
            <w:textDirection w:val="lrTb"/>
            <w:noWrap w:val="false"/>
          </w:tcPr>
          <w:p>
            <w:pPr>
              <w:ind w:firstLine="283"/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Документ, удостоверяющий личность заявителя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3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1А, 2А, 3А, 4А, 1Б, 2Б, 3Б, 4Б, 1В, 2В, 3В, 4В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ЕПГУ, ПС, Л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[Все], Д(1)</w:t>
            </w:r>
            <w:r>
              <w:rPr>
                <w:sz w:val="22"/>
                <w:highlight w:val="white"/>
              </w:rPr>
              <w:t xml:space="preserve">, О, </w:t>
            </w:r>
            <w:r>
              <w:rPr>
                <w:sz w:val="22"/>
                <w:highlight w:val="white"/>
              </w:rPr>
              <w:t xml:space="preserve">О(</w:t>
            </w:r>
            <w:r>
              <w:rPr>
                <w:sz w:val="22"/>
                <w:highlight w:val="white"/>
              </w:rPr>
              <w:t xml:space="preserve">э)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 xml:space="preserve">3.</w:t>
            </w:r>
            <w:r>
              <w:rPr>
                <w:rFonts w:eastAsiaTheme="minorHAnsi"/>
                <w:highlight w:val="white"/>
                <w:lang w:eastAsia="en-US"/>
              </w:rPr>
            </w:r>
            <w:r>
              <w:rPr>
                <w:rFonts w:eastAsiaTheme="minorHAnsi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0" w:type="pct"/>
            <w:vAlign w:val="center"/>
            <w:textDirection w:val="lrTb"/>
            <w:noWrap w:val="false"/>
          </w:tcPr>
          <w:p>
            <w:pPr>
              <w:ind w:firstLine="283"/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Документ, подтверждающий полномочия представителя </w:t>
            </w:r>
            <w:r>
              <w:rPr>
                <w:sz w:val="22"/>
                <w:highlight w:val="white"/>
              </w:rPr>
              <w:t xml:space="preserve">заявителя</w:t>
            </w:r>
            <w:r>
              <w:rPr>
                <w:sz w:val="22"/>
                <w:highlight w:val="white"/>
              </w:rPr>
              <w:t xml:space="preserve"> в соответствии с законодательством Российской Федерации, копия которого заверяется должностным лицом, принимающим </w:t>
            </w:r>
            <w:r>
              <w:rPr>
                <w:sz w:val="22"/>
                <w:highlight w:val="white"/>
              </w:rPr>
              <w:t xml:space="preserve">запрос</w:t>
            </w:r>
            <w:r>
              <w:rPr>
                <w:sz w:val="22"/>
                <w:highlight w:val="white"/>
              </w:rPr>
              <w:t xml:space="preserve">, и приобщается к поданному заявлению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3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2А, 2Б, 2В, 4А, 4Б, 4В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ЕПГУ, ПС, Л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[Все], Д(1)</w:t>
            </w:r>
            <w:r>
              <w:rPr>
                <w:sz w:val="22"/>
                <w:highlight w:val="white"/>
              </w:rPr>
              <w:t xml:space="preserve">, К, </w:t>
            </w:r>
            <w:r>
              <w:rPr>
                <w:sz w:val="22"/>
                <w:highlight w:val="white"/>
              </w:rPr>
              <w:t xml:space="preserve">К(</w:t>
            </w:r>
            <w:r>
              <w:rPr>
                <w:sz w:val="22"/>
                <w:highlight w:val="white"/>
              </w:rPr>
              <w:t xml:space="preserve">э)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  <w:p>
            <w:pPr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  <w:p>
            <w:pPr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______________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  <w:p>
            <w:pPr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Примечание: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  <w:p>
            <w:pPr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  <w:p>
            <w:pPr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Д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ля доверенности в пр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остой письменной форме – копия.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  <w:p>
            <w:pPr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Д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ля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нотариальной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 – оригинал или нотариально заверенная копия.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 xml:space="preserve">4.</w:t>
            </w:r>
            <w:r>
              <w:rPr>
                <w:rFonts w:eastAsiaTheme="minorHAnsi"/>
                <w:highlight w:val="white"/>
                <w:lang w:eastAsia="en-US"/>
              </w:rPr>
            </w:r>
            <w:r>
              <w:rPr>
                <w:rFonts w:eastAsiaTheme="minorHAnsi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0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Правоустанавливающие документы на жилое помещение, право на которое не зарегистрировано в Едином государственном реестре недвижимости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3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sz w:val="22"/>
                <w:highlight w:val="white"/>
              </w:rPr>
              <w:t xml:space="preserve">ЕПГУ, ПС, Л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sz w:val="22"/>
                <w:highlight w:val="white"/>
              </w:rPr>
              <w:t xml:space="preserve">[Все], Д(1)</w:t>
            </w:r>
            <w:r>
              <w:rPr>
                <w:sz w:val="22"/>
                <w:highlight w:val="white"/>
              </w:rPr>
              <w:t xml:space="preserve">, </w:t>
            </w:r>
            <w:r>
              <w:rPr>
                <w:sz w:val="22"/>
                <w:highlight w:val="white"/>
              </w:rPr>
              <w:t xml:space="preserve">О, </w:t>
            </w:r>
            <w:r>
              <w:rPr>
                <w:sz w:val="22"/>
                <w:highlight w:val="white"/>
              </w:rPr>
              <w:t xml:space="preserve">О(</w:t>
            </w:r>
            <w:r>
              <w:rPr>
                <w:sz w:val="22"/>
                <w:highlight w:val="white"/>
              </w:rPr>
              <w:t xml:space="preserve">э), К, К(э)</w:t>
            </w:r>
            <w:r>
              <w:rPr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 xml:space="preserve">5.</w:t>
            </w:r>
            <w:r>
              <w:rPr>
                <w:rFonts w:eastAsiaTheme="minorHAnsi"/>
                <w:highlight w:val="white"/>
                <w:lang w:eastAsia="en-US"/>
              </w:rPr>
            </w:r>
            <w:r>
              <w:rPr>
                <w:rFonts w:eastAsiaTheme="minorHAnsi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0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В отношении нежилого помещения для признания его в дальнейшем жилым помещением - проект реконструкции нежилого помещения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3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1А, 2А, 3А, 4А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sz w:val="22"/>
                <w:highlight w:val="white"/>
              </w:rPr>
              <w:t xml:space="preserve">ЕПГУ, ПС, Л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sz w:val="22"/>
                <w:highlight w:val="white"/>
              </w:rPr>
              <w:t xml:space="preserve">[Все], Д(1)</w:t>
            </w:r>
            <w:r>
              <w:rPr>
                <w:sz w:val="22"/>
                <w:highlight w:val="white"/>
              </w:rPr>
              <w:t xml:space="preserve">, О, </w:t>
            </w:r>
            <w:r>
              <w:rPr>
                <w:sz w:val="22"/>
                <w:highlight w:val="white"/>
              </w:rPr>
              <w:t xml:space="preserve">О(</w:t>
            </w:r>
            <w:r>
              <w:rPr>
                <w:sz w:val="22"/>
                <w:highlight w:val="white"/>
              </w:rPr>
              <w:t xml:space="preserve">э), К, К(э)</w:t>
            </w:r>
            <w:r>
              <w:rPr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 xml:space="preserve">6.</w:t>
            </w:r>
            <w:r>
              <w:rPr>
                <w:rFonts w:eastAsiaTheme="minorHAnsi"/>
                <w:highlight w:val="white"/>
                <w:lang w:eastAsia="en-US"/>
              </w:rPr>
            </w:r>
            <w:r>
              <w:rPr>
                <w:rFonts w:eastAsiaTheme="minorHAnsi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0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Заключение специализированной организации, проводившей обследование многоквартирного дома, заверенное </w:t>
            </w:r>
            <w:r>
              <w:rPr>
                <w:sz w:val="22"/>
                <w:highlight w:val="white"/>
              </w:rPr>
              <w:t xml:space="preserve">подписью специалиста по организации инженерных изыс</w:t>
            </w:r>
            <w:r>
              <w:rPr>
                <w:sz w:val="22"/>
                <w:highlight w:val="white"/>
              </w:rPr>
              <w:t xml:space="preserve">каний, сведения о котором включены в национальный реестр специалистов в области инженерных изысканий и архитектурно-строительного проектирования, - в случае постановки вопроса о признании многоквартирного дома аварийным и подлежащим сносу или реконструкции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3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1В, 2В, 3В, 4В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sz w:val="22"/>
                <w:highlight w:val="white"/>
              </w:rPr>
              <w:t xml:space="preserve">ЕПГУ, ПС, Л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sz w:val="22"/>
                <w:highlight w:val="white"/>
              </w:rPr>
              <w:t xml:space="preserve">[Все], Д(1)</w:t>
            </w:r>
            <w:r>
              <w:rPr>
                <w:sz w:val="22"/>
                <w:highlight w:val="white"/>
              </w:rPr>
              <w:t xml:space="preserve">, О, </w:t>
            </w:r>
            <w:r>
              <w:rPr>
                <w:sz w:val="22"/>
                <w:highlight w:val="white"/>
              </w:rPr>
              <w:t xml:space="preserve">О(</w:t>
            </w:r>
            <w:r>
              <w:rPr>
                <w:sz w:val="22"/>
                <w:highlight w:val="white"/>
              </w:rPr>
              <w:t xml:space="preserve">э), К, К(э)</w:t>
            </w:r>
            <w:r>
              <w:rPr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 xml:space="preserve">7.</w:t>
            </w:r>
            <w:r>
              <w:rPr>
                <w:rFonts w:eastAsiaTheme="minorHAnsi"/>
                <w:highlight w:val="white"/>
                <w:lang w:eastAsia="en-US"/>
              </w:rPr>
            </w:r>
            <w:r>
              <w:rPr>
                <w:rFonts w:eastAsiaTheme="minorHAnsi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0" w:type="pct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sz w:val="22"/>
                <w:highlight w:val="white"/>
              </w:rPr>
              <w:t xml:space="preserve">З</w:t>
            </w:r>
            <w:r>
              <w:rPr>
                <w:sz w:val="22"/>
                <w:highlight w:val="white"/>
              </w:rPr>
              <w:t xml:space="preserve">аключение специализированной организации по результатам обследования элементов ограждающих и несущих конструкций жилого помещения – в случае, если в соответствии с абзац</w:t>
            </w:r>
            <w:r>
              <w:rPr>
                <w:sz w:val="22"/>
                <w:highlight w:val="white"/>
              </w:rPr>
              <w:t xml:space="preserve">ем третьим пункта 44 Положения </w:t>
            </w:r>
            <w:r>
              <w:rPr>
                <w:sz w:val="22"/>
                <w:highlight w:val="white"/>
              </w:rPr>
              <w:t xml:space="preserve">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</w:t>
            </w:r>
            <w:r>
              <w:rPr>
                <w:sz w:val="22"/>
                <w:highlight w:val="white"/>
              </w:rPr>
              <w:t xml:space="preserve">, утверждённого постановлением Правительства Российской Федерации от 28.01.2006 № 47</w:t>
            </w:r>
            <w:r>
              <w:rPr>
                <w:sz w:val="22"/>
                <w:highlight w:val="white"/>
              </w:rPr>
              <w:t xml:space="preserve"> (далее</w:t>
            </w:r>
            <w:r>
              <w:rPr>
                <w:sz w:val="22"/>
                <w:highlight w:val="white"/>
              </w:rPr>
              <w:t xml:space="preserve"> – </w:t>
            </w:r>
            <w:r>
              <w:rPr>
                <w:sz w:val="22"/>
                <w:highlight w:val="white"/>
              </w:rPr>
              <w:t xml:space="preserve">Положение)</w:t>
            </w:r>
            <w:r>
              <w:rPr>
                <w:sz w:val="22"/>
                <w:highlight w:val="white"/>
              </w:rPr>
              <w:t xml:space="preserve">, </w:t>
            </w:r>
            <w:r>
              <w:rPr>
                <w:sz w:val="22"/>
                <w:highlight w:val="white"/>
              </w:rPr>
              <w:t xml:space="preserve">предоставление такого заключения является необходимым для принятия решения о признании жилого помещения соответствующим (не соответствующим) установленным требованиям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3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ЕПГУ, ПС, Л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[Все], Д(1)</w:t>
            </w:r>
            <w:r>
              <w:rPr>
                <w:sz w:val="22"/>
                <w:highlight w:val="white"/>
              </w:rPr>
              <w:t xml:space="preserve">, О, </w:t>
            </w:r>
            <w:r>
              <w:rPr>
                <w:sz w:val="22"/>
                <w:highlight w:val="white"/>
              </w:rPr>
              <w:t xml:space="preserve">О(</w:t>
            </w:r>
            <w:r>
              <w:rPr>
                <w:sz w:val="22"/>
                <w:highlight w:val="white"/>
              </w:rPr>
              <w:t xml:space="preserve">э), К, К(э)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 xml:space="preserve">8.</w:t>
            </w:r>
            <w:r>
              <w:rPr>
                <w:rFonts w:eastAsiaTheme="minorHAnsi"/>
                <w:highlight w:val="white"/>
                <w:lang w:eastAsia="en-US"/>
              </w:rPr>
            </w:r>
            <w:r>
              <w:rPr>
                <w:rFonts w:eastAsiaTheme="minorHAnsi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0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З</w:t>
            </w:r>
            <w:r>
              <w:rPr>
                <w:sz w:val="22"/>
                <w:highlight w:val="white"/>
              </w:rPr>
              <w:t xml:space="preserve">аявления, письма, жалобы граждан на неудовлетворительные условия проживания - по усмотрению заявителя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1А, 2А, 3А, 4А, 1Б, 2Б, 3Б, 4Б, 1В, 2В, 3В, 4В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ЕПГУ, ПС, Л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[Все], Д(1)</w:t>
            </w:r>
            <w:r>
              <w:rPr>
                <w:sz w:val="22"/>
                <w:highlight w:val="white"/>
              </w:rPr>
              <w:t xml:space="preserve">, О, </w:t>
            </w:r>
            <w:r>
              <w:rPr>
                <w:sz w:val="22"/>
                <w:highlight w:val="white"/>
              </w:rPr>
              <w:t xml:space="preserve">О(</w:t>
            </w:r>
            <w:r>
              <w:rPr>
                <w:sz w:val="22"/>
                <w:highlight w:val="white"/>
              </w:rPr>
              <w:t xml:space="preserve">э), К, К(э)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  <w:tc>
          <w:tcPr>
            <w:tcW w:w="1505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[Все], Д(1)</w:t>
            </w:r>
            <w:r>
              <w:rPr>
                <w:sz w:val="22"/>
                <w:highlight w:val="white"/>
              </w:rPr>
              <w:t xml:space="preserve">, О, </w:t>
            </w:r>
            <w:r>
              <w:rPr>
                <w:sz w:val="22"/>
                <w:highlight w:val="white"/>
              </w:rPr>
              <w:t xml:space="preserve">О(</w:t>
            </w:r>
            <w:r>
              <w:rPr>
                <w:sz w:val="22"/>
                <w:highlight w:val="white"/>
              </w:rPr>
              <w:t xml:space="preserve">э), К, К(э)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95" w:type="pct"/>
            <w:vAlign w:val="center"/>
            <w:textDirection w:val="lrTb"/>
            <w:noWrap w:val="false"/>
          </w:tcPr>
          <w:p>
            <w:pPr>
              <w:ind w:firstLine="283"/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Исчерпывающий перечень документов, необходимых в соответствии с законодательством или иными нормативными правовыми актами для предоставления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муниципальной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 xml:space="preserve">1.</w:t>
            </w:r>
            <w:r>
              <w:rPr>
                <w:rFonts w:eastAsiaTheme="minorHAnsi"/>
                <w:highlight w:val="white"/>
                <w:lang w:eastAsia="en-US"/>
              </w:rPr>
            </w:r>
            <w:r>
              <w:rPr>
                <w:rFonts w:eastAsiaTheme="minorHAnsi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0" w:type="pct"/>
            <w:vAlign w:val="center"/>
            <w:textDirection w:val="lrTb"/>
            <w:noWrap w:val="false"/>
          </w:tcPr>
          <w:p>
            <w:pPr>
              <w:ind w:firstLine="283"/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Выписка из Единого государственного реестра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недвижимости о правах на помещение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1А, 2А, 3А, 4А, 1Б, 2Б, 3Б, 4Б, 1В, 2В, 3В, 4В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ЕПГУ, ПС, Л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[Все], Д(1)</w:t>
            </w:r>
            <w:r>
              <w:rPr>
                <w:sz w:val="22"/>
                <w:highlight w:val="white"/>
              </w:rPr>
              <w:t xml:space="preserve">, О, </w:t>
            </w:r>
            <w:r>
              <w:rPr>
                <w:sz w:val="22"/>
                <w:highlight w:val="white"/>
              </w:rPr>
              <w:t xml:space="preserve">О(</w:t>
            </w:r>
            <w:r>
              <w:rPr>
                <w:sz w:val="22"/>
                <w:highlight w:val="white"/>
              </w:rPr>
              <w:t xml:space="preserve">э), К, К(э)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 xml:space="preserve">2.</w:t>
            </w:r>
            <w:r>
              <w:rPr>
                <w:rFonts w:eastAsiaTheme="minorHAnsi"/>
                <w:highlight w:val="white"/>
                <w:lang w:eastAsia="en-US"/>
              </w:rPr>
            </w:r>
            <w:r>
              <w:rPr>
                <w:rFonts w:eastAsiaTheme="minorHAnsi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Технический паспорт жилого помещения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ЕПГУ, ПС, Л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[Все], Д(1)</w:t>
            </w:r>
            <w:r>
              <w:rPr>
                <w:sz w:val="22"/>
                <w:highlight w:val="white"/>
              </w:rPr>
              <w:t xml:space="preserve">, О, </w:t>
            </w:r>
            <w:r>
              <w:rPr>
                <w:sz w:val="22"/>
                <w:highlight w:val="white"/>
              </w:rPr>
              <w:t xml:space="preserve">О(</w:t>
            </w:r>
            <w:r>
              <w:rPr>
                <w:sz w:val="22"/>
                <w:highlight w:val="white"/>
              </w:rPr>
              <w:t xml:space="preserve">э), К, К(э)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 xml:space="preserve">3.</w:t>
            </w:r>
            <w:r>
              <w:rPr>
                <w:rFonts w:eastAsiaTheme="minorHAnsi"/>
                <w:highlight w:val="white"/>
                <w:lang w:eastAsia="en-US"/>
              </w:rPr>
            </w:r>
            <w:r>
              <w:rPr>
                <w:rFonts w:eastAsiaTheme="minorHAnsi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Технический план нежилого помещения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1А, 2А, 3А, 4А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ЕПГУ, ПС, Л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[Все], Д(1)</w:t>
            </w:r>
            <w:r>
              <w:rPr>
                <w:sz w:val="22"/>
                <w:highlight w:val="white"/>
              </w:rPr>
              <w:t xml:space="preserve">, О, </w:t>
            </w:r>
            <w:r>
              <w:rPr>
                <w:sz w:val="22"/>
                <w:highlight w:val="white"/>
              </w:rPr>
              <w:t xml:space="preserve">О(</w:t>
            </w:r>
            <w:r>
              <w:rPr>
                <w:sz w:val="22"/>
                <w:highlight w:val="white"/>
              </w:rPr>
              <w:t xml:space="preserve">э), К, К(э)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highlight w:val="white"/>
              </w:rPr>
            </w:pPr>
            <w:r>
              <w:rPr>
                <w:rFonts w:eastAsiaTheme="minorHAnsi"/>
                <w:highlight w:val="white"/>
                <w:lang w:eastAsia="en-US"/>
              </w:rPr>
              <w:t xml:space="preserve">4.</w:t>
            </w:r>
            <w:r>
              <w:rPr>
                <w:rFonts w:eastAsiaTheme="minorHAnsi"/>
                <w:highlight w:val="white"/>
                <w:lang w:eastAsia="en-US"/>
              </w:rPr>
            </w:r>
            <w:r>
              <w:rPr>
                <w:rFonts w:eastAsiaTheme="minorHAnsi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З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аключения (акты) соответствующих органов государственного надзора (контроля) в случае, если представление указанных документов согласно п. 44 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Положения, является необходимым для принятия решения о признании жилого помещения непригодным для проживания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ЕПГУ, ПС, Л</w:t>
            </w:r>
            <w:r>
              <w:rPr>
                <w:sz w:val="22"/>
                <w:highlight w:val="white"/>
              </w:rPr>
            </w:r>
            <w:r>
              <w:rPr>
                <w:sz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sz w:val="22"/>
                <w:highlight w:val="white"/>
              </w:rPr>
              <w:t xml:space="preserve">[Все], Д(1)</w:t>
            </w:r>
            <w:r>
              <w:rPr>
                <w:sz w:val="22"/>
                <w:highlight w:val="white"/>
              </w:rPr>
              <w:t xml:space="preserve">, О, </w:t>
            </w:r>
            <w:r>
              <w:rPr>
                <w:sz w:val="22"/>
                <w:highlight w:val="white"/>
              </w:rPr>
              <w:t xml:space="preserve">О(</w:t>
            </w:r>
            <w:r>
              <w:rPr>
                <w:sz w:val="22"/>
                <w:highlight w:val="white"/>
              </w:rPr>
              <w:t xml:space="preserve">э), К, К(э)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</w:tr>
    </w:tbl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spacing w:after="200" w:line="276" w:lineRule="auto"/>
        <w:rPr>
          <w:highlight w:val="white"/>
        </w:rPr>
      </w:pPr>
      <w:r>
        <w:rPr>
          <w:highlight w:val="white"/>
        </w:rPr>
        <w:br w:type="page" w:clear="all"/>
      </w:r>
      <w:r>
        <w:rPr>
          <w:highlight w:val="white"/>
        </w:rPr>
      </w:r>
    </w:p>
    <w:p>
      <w:pPr>
        <w:jc w:val="center"/>
        <w:rPr>
          <w:highlight w:val="white"/>
        </w:rPr>
        <w:outlineLvl w:val="1"/>
      </w:pPr>
      <w:r>
        <w:rPr>
          <w:b/>
          <w:bCs/>
          <w:highlight w:val="white"/>
        </w:rPr>
        <w:t xml:space="preserve">IV. Исчерпывающий перечень оснований для отказа в приеме</w:t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b/>
          <w:bCs/>
          <w:highlight w:val="white"/>
        </w:rPr>
        <w:t xml:space="preserve">запроса</w:t>
      </w:r>
      <w:r>
        <w:rPr>
          <w:b/>
          <w:bCs/>
          <w:highlight w:val="white"/>
        </w:rPr>
        <w:t xml:space="preserve"> и документов, необходимых для предоставления</w:t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b/>
          <w:bCs/>
          <w:highlight w:val="white"/>
        </w:rPr>
        <w:t xml:space="preserve">муниципальной услуги, оснований для приостановления</w:t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b/>
          <w:bCs/>
          <w:highlight w:val="white"/>
        </w:rPr>
        <w:t xml:space="preserve">предоставления муниципальной услуги или отказа</w:t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b/>
          <w:bCs/>
          <w:highlight w:val="white"/>
        </w:rPr>
        <w:t xml:space="preserve">в предоставлении муниципальной услуги</w:t>
      </w:r>
      <w:r>
        <w:rPr>
          <w:highlight w:val="white"/>
        </w:rPr>
      </w:r>
    </w:p>
    <w:p>
      <w:pPr>
        <w:jc w:val="center"/>
        <w:rPr>
          <w:color w:val="ff0000"/>
          <w:highlight w:val="white"/>
        </w:rPr>
      </w:pPr>
      <w:r>
        <w:rPr>
          <w:color w:val="ff0000"/>
          <w:highlight w:val="white"/>
        </w:rPr>
      </w:r>
      <w:r>
        <w:rPr>
          <w:color w:val="ff0000"/>
          <w:highlight w:val="white"/>
        </w:rPr>
      </w:r>
      <w:r>
        <w:rPr>
          <w:color w:val="ff0000"/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  <w:t xml:space="preserve">Таблица № 3</w:t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tbl>
      <w:tblPr>
        <w:tblW w:w="5000" w:type="pct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02"/>
        <w:gridCol w:w="195"/>
        <w:gridCol w:w="7340"/>
        <w:gridCol w:w="2009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0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№</w:t>
            </w:r>
            <w:r>
              <w:rPr>
                <w:highlight w:val="whit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50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Перечень оснований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0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Идентификатор категорий (признаков) заявителей</w:t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Исчерпывающий перечень оснований для отказа в приеме </w:t>
            </w:r>
            <w:r>
              <w:rPr>
                <w:b/>
                <w:highlight w:val="white"/>
              </w:rPr>
              <w:t xml:space="preserve">запроса</w:t>
            </w:r>
            <w:r>
              <w:rPr>
                <w:b/>
                <w:highlight w:val="white"/>
              </w:rPr>
              <w:t xml:space="preserve"> и документов, необходимых для предоставления муниципальной услуги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53" w:type="pct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</w:t>
            </w:r>
            <w:r>
              <w:rPr>
                <w:highlight w:val="white"/>
              </w:rPr>
              <w:t xml:space="preserve">ежащих представлению заявителем;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0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1А, 2А, 3А, 4А, 1Б, 2Б, 3Б, 4Б, 1В, 2В, 3В, 4В</w:t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2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53" w:type="pct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Запрос</w:t>
            </w:r>
            <w:r>
              <w:rPr>
                <w:highlight w:val="white"/>
              </w:rPr>
              <w:t xml:space="preserve"> подан</w:t>
            </w:r>
            <w:r>
              <w:rPr>
                <w:highlight w:val="white"/>
              </w:rPr>
              <w:t xml:space="preserve"> лицом, не уполномоченным на осуществление таких действий;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0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2А,4А, 2Б, 4Б. 2В,4В</w:t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3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53" w:type="pct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Запрос</w:t>
            </w:r>
            <w:r>
              <w:rPr>
                <w:highlight w:val="white"/>
              </w:rPr>
              <w:t xml:space="preserve"> подписан</w:t>
            </w:r>
            <w:r>
              <w:rPr>
                <w:highlight w:val="white"/>
              </w:rPr>
              <w:t xml:space="preserve"> не уполномоченным лицом</w:t>
            </w:r>
            <w:r>
              <w:rPr>
                <w:highlight w:val="white"/>
              </w:rPr>
              <w:t xml:space="preserve">;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0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2А,4А, 2Б, 4Б. 2В, 4В</w:t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4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53" w:type="pct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В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запросе</w:t>
            </w:r>
            <w:r>
              <w:rPr>
                <w:highlight w:val="white"/>
              </w:rPr>
              <w:t xml:space="preserve"> не указаны фамилия, имя, отч</w:t>
            </w:r>
            <w:r>
              <w:rPr>
                <w:highlight w:val="white"/>
              </w:rPr>
              <w:t xml:space="preserve">ество (при наличии) гражданина, </w:t>
            </w:r>
            <w:r>
              <w:rPr>
                <w:highlight w:val="white"/>
              </w:rPr>
              <w:t xml:space="preserve">обратившегося за предоставлением муниципальной услуги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0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1А, 2А, 1Б, 2Б, 1В, 2В</w:t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5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53" w:type="pct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П</w:t>
            </w:r>
            <w:r>
              <w:rPr>
                <w:highlight w:val="white"/>
              </w:rPr>
              <w:t xml:space="preserve">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0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1А, 2А, 3А, 4А, 1Б, 2Б, 3Б, 4Б, 1В, 2В, 3В, 4В</w:t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6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53" w:type="pct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Т</w:t>
            </w:r>
            <w:r>
              <w:rPr>
                <w:highlight w:val="white"/>
              </w:rPr>
              <w:t xml:space="preserve">екст в </w:t>
            </w:r>
            <w:r>
              <w:rPr>
                <w:highlight w:val="white"/>
              </w:rPr>
              <w:t xml:space="preserve">запросе</w:t>
            </w:r>
            <w:r>
              <w:rPr>
                <w:highlight w:val="white"/>
              </w:rPr>
              <w:t xml:space="preserve"> не поддается прочтению</w:t>
            </w:r>
            <w:r>
              <w:rPr>
                <w:highlight w:val="white"/>
              </w:rPr>
              <w:t xml:space="preserve">;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0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1А, 2А, 3А, 4А, 1Б, 2Б, 3Б, 4Б, 1В, 2В, 3В, 4В</w:t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7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53" w:type="pct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Неверно выбрана и указана в запросе муниципальная услуга, в рамках предоставляемых муниципальных услуг профильного структурного подразделения администрации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0" w:type="pct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2"/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1А, 2А, 3А, 4А, 1Б, 2Б, 3Б, 4Б, 1В, 2В, 1В, 2В, 3В, 4В</w:t>
            </w:r>
            <w:r>
              <w:rPr>
                <w:rFonts w:eastAsiaTheme="minorHAnsi"/>
                <w:sz w:val="22"/>
                <w:highlight w:val="white"/>
                <w:lang w:eastAsia="en-US"/>
              </w:rPr>
            </w:r>
            <w:r>
              <w:rPr>
                <w:rFonts w:eastAsiaTheme="minorHAnsi"/>
                <w:sz w:val="22"/>
                <w:highlight w:val="white"/>
              </w:rPr>
            </w:r>
          </w:p>
        </w:tc>
      </w:tr>
      <w:tr>
        <w:tblPrEx/>
        <w:trPr/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Исчерпывающий перечень оснований для приостановления предоставления муниципальной услуги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0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</w:t>
            </w:r>
            <w:r>
              <w:rPr>
                <w:highlight w:val="whit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50" w:type="pct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Основания для приостановления предоставления муниципальной услуги не предусмотрены.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0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1А, 2А, 3А, 4А, 1Б, 2Б, 3Б, 4Б, 1В, 2В, 3В, 4В</w:t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00" w:type="pct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Исчерпывающий перечень оснований для отказа в предоставлении муниципальной услуги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</w:tr>
      <w:tr>
        <w:tblPrEx/>
        <w:trPr>
          <w:trHeight w:val="1020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" w:type="pct"/>
            <w:textDirection w:val="lrTb"/>
            <w:noWrap w:val="false"/>
          </w:tcPr>
          <w:p>
            <w:pPr>
              <w:jc w:val="center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1.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53" w:type="pct"/>
            <w:textDirection w:val="lrTb"/>
            <w:noWrap w:val="false"/>
          </w:tcPr>
          <w:p>
            <w:pPr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Основаниями для принятия решения об отказе в предоставлении муниципальной услуги является принятие межведомственной комиссии следующих решений: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0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1.1. 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53" w:type="pct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Несоответствие</w:t>
            </w:r>
            <w:r>
              <w:rPr>
                <w:highlight w:val="white"/>
              </w:rPr>
              <w:t xml:space="preserve"> помещения требованиям, предъявляемым к жилому помещению, и</w:t>
            </w:r>
            <w:r>
              <w:rPr>
                <w:highlight w:val="white"/>
              </w:rPr>
              <w:t xml:space="preserve"> его пригодности для проживания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0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1А, 2А, 3А, 4А</w:t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1.2.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53" w:type="pct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Отсутствие</w:t>
            </w:r>
            <w:r>
              <w:rPr>
                <w:highlight w:val="white"/>
              </w:rPr>
              <w:t xml:space="preserve"> о</w:t>
            </w:r>
            <w:r>
              <w:rPr>
                <w:highlight w:val="white"/>
              </w:rPr>
              <w:t xml:space="preserve">сновани</w:t>
            </w:r>
            <w:r>
              <w:rPr>
                <w:highlight w:val="white"/>
              </w:rPr>
              <w:t xml:space="preserve">й</w:t>
            </w:r>
            <w:r>
              <w:rPr>
                <w:highlight w:val="white"/>
              </w:rPr>
              <w:t xml:space="preserve"> для признания жилого помещения </w:t>
            </w:r>
            <w:r>
              <w:rPr>
                <w:highlight w:val="white"/>
              </w:rPr>
              <w:t xml:space="preserve">непригодным</w:t>
            </w:r>
            <w:r>
              <w:rPr>
                <w:highlight w:val="white"/>
              </w:rPr>
              <w:t xml:space="preserve"> для проживания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0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1Б, 2Б, 3Б, 4Б</w:t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1.3.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53" w:type="pct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Отсутствие</w:t>
            </w:r>
            <w:r>
              <w:rPr>
                <w:highlight w:val="white"/>
              </w:rPr>
              <w:t xml:space="preserve"> оснований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для признания многоквартирного дома аварийным и подлежащим сносу или реконструкции.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0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1В, 2В, 3В, 4В</w:t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1.4. 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53" w:type="pct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П</w:t>
            </w:r>
            <w:r>
              <w:rPr>
                <w:highlight w:val="white"/>
              </w:rPr>
              <w:t xml:space="preserve">редставление </w:t>
            </w:r>
            <w:r>
              <w:rPr>
                <w:highlight w:val="white"/>
              </w:rPr>
              <w:t xml:space="preserve">документов в ненадлежащий орган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0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1А, 2А, 3А, 4А, 1Б, 2Б, 3Б, 4Б, 1В, 2В, 3В, 4В</w:t>
            </w:r>
            <w:r>
              <w:rPr>
                <w:highlight w:val="white"/>
              </w:rPr>
            </w:r>
          </w:p>
        </w:tc>
      </w:tr>
      <w:tr>
        <w:tblPrEx/>
        <w:trPr>
          <w:trHeight w:val="950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" w:type="pct"/>
            <w:textDirection w:val="lrTb"/>
            <w:noWrap w:val="false"/>
          </w:tcPr>
          <w:p>
            <w:pPr>
              <w:jc w:val="center"/>
              <w:rPr>
                <w:color w:val="ff0000"/>
                <w:highlight w:val="white"/>
              </w:rPr>
            </w:pPr>
            <w:r>
              <w:rPr>
                <w:highlight w:val="white"/>
              </w:rPr>
              <w:t xml:space="preserve">2.</w:t>
            </w:r>
            <w:r>
              <w:rPr>
                <w:color w:val="ff0000"/>
                <w:highlight w:val="white"/>
              </w:rPr>
            </w:r>
            <w:r>
              <w:rPr>
                <w:color w:val="ff0000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53" w:type="pct"/>
            <w:textDirection w:val="lrTb"/>
            <w:noWrap w:val="false"/>
          </w:tcPr>
          <w:p>
            <w:pPr>
              <w:jc w:val="both"/>
              <w:rPr>
                <w:b/>
                <w:color w:val="ff0000"/>
                <w:highlight w:val="white"/>
              </w:rPr>
            </w:pPr>
            <w:r>
              <w:rPr>
                <w:b/>
                <w:highlight w:val="white"/>
              </w:rPr>
              <w:t xml:space="preserve">Исчерпывающий перечень оснований для возврата </w:t>
            </w:r>
            <w:r>
              <w:rPr>
                <w:b/>
                <w:highlight w:val="white"/>
              </w:rPr>
              <w:t xml:space="preserve">запроса</w:t>
            </w:r>
            <w:r>
              <w:rPr>
                <w:b/>
                <w:highlight w:val="white"/>
              </w:rPr>
              <w:t xml:space="preserve"> и документов заявителю:</w:t>
            </w:r>
            <w:r>
              <w:rPr>
                <w:b/>
                <w:color w:val="ff0000"/>
                <w:highlight w:val="white"/>
              </w:rPr>
            </w:r>
            <w:r>
              <w:rPr>
                <w:b/>
                <w:color w:val="ff0000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0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262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 xml:space="preserve">2.1. 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53" w:type="pct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Непредставление</w:t>
            </w:r>
            <w:r>
              <w:rPr>
                <w:highlight w:val="white"/>
              </w:rPr>
              <w:t xml:space="preserve"> документ</w:t>
            </w:r>
            <w:r>
              <w:rPr>
                <w:highlight w:val="white"/>
              </w:rPr>
              <w:t xml:space="preserve">ов</w:t>
            </w:r>
            <w:r>
              <w:rPr>
                <w:highlight w:val="white"/>
              </w:rPr>
              <w:t xml:space="preserve">, установленны</w:t>
            </w:r>
            <w:r>
              <w:rPr>
                <w:highlight w:val="white"/>
              </w:rPr>
              <w:t xml:space="preserve">х</w:t>
            </w:r>
            <w:r>
              <w:rPr>
                <w:highlight w:val="white"/>
              </w:rPr>
              <w:t xml:space="preserve"> в таблице № 2</w:t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0" w:type="pct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rFonts w:eastAsiaTheme="minorHAnsi"/>
                <w:sz w:val="22"/>
                <w:highlight w:val="white"/>
                <w:lang w:eastAsia="en-US"/>
              </w:rPr>
              <w:t xml:space="preserve">1А, 2А, 3А, 4А, 1Б, 2Б, 3Б, 4Б, 1В, 2В, 3В, 4В</w:t>
            </w:r>
            <w:r>
              <w:rPr>
                <w:highlight w:val="white"/>
              </w:rPr>
            </w:r>
          </w:p>
        </w:tc>
      </w:tr>
    </w:tbl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highlight w:val="white"/>
        </w:rPr>
        <w:outlineLvl w:val="1"/>
      </w:pPr>
      <w:r>
        <w:rPr>
          <w:b/>
          <w:bCs/>
          <w:highlight w:val="white"/>
        </w:rPr>
        <w:t xml:space="preserve">Формы </w:t>
      </w:r>
      <w:r>
        <w:rPr>
          <w:b/>
          <w:bCs/>
          <w:highlight w:val="white"/>
        </w:rPr>
        <w:t xml:space="preserve">запроса</w:t>
      </w:r>
      <w:r>
        <w:rPr>
          <w:b/>
          <w:bCs/>
          <w:highlight w:val="white"/>
        </w:rPr>
        <w:t xml:space="preserve"> и документов, </w:t>
      </w:r>
      <w:bookmarkStart w:id="9" w:name="_GoBack"/>
      <w:r>
        <w:rPr>
          <w:highlight w:val="white"/>
        </w:rPr>
      </w:r>
      <w:bookmarkEnd w:id="9"/>
      <w:r>
        <w:rPr>
          <w:b/>
          <w:bCs/>
          <w:highlight w:val="white"/>
        </w:rPr>
        <w:t xml:space="preserve">необходимых</w:t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b/>
          <w:bCs/>
          <w:highlight w:val="white"/>
        </w:rPr>
        <w:t xml:space="preserve">для предоставления муниципальной услуги</w:t>
      </w:r>
      <w:r>
        <w:rPr>
          <w:highlight w:val="white"/>
        </w:rPr>
      </w:r>
    </w:p>
    <w:p>
      <w:pPr>
        <w:jc w:val="right"/>
        <w:widowControl w:val="off"/>
        <w:rPr>
          <w:b/>
          <w:bCs/>
          <w:sz w:val="28"/>
          <w:szCs w:val="20"/>
          <w:highlight w:val="white"/>
        </w:rPr>
      </w:pPr>
      <w:r>
        <w:rPr>
          <w:b/>
          <w:bCs/>
          <w:sz w:val="28"/>
          <w:szCs w:val="20"/>
          <w:highlight w:val="white"/>
        </w:rPr>
        <w:t xml:space="preserve">Образец № 1</w:t>
      </w:r>
      <w:r>
        <w:rPr>
          <w:b/>
          <w:bCs/>
          <w:sz w:val="28"/>
          <w:szCs w:val="20"/>
          <w:highlight w:val="white"/>
        </w:rPr>
      </w:r>
      <w:r>
        <w:rPr>
          <w:b/>
          <w:bCs/>
          <w:sz w:val="28"/>
          <w:szCs w:val="20"/>
          <w:highlight w:val="white"/>
        </w:rPr>
      </w:r>
    </w:p>
    <w:p>
      <w:pPr>
        <w:jc w:val="right"/>
        <w:widowControl w:val="off"/>
        <w:rPr>
          <w:highlight w:val="white"/>
        </w:rPr>
      </w:pPr>
      <w:r>
        <w:rPr>
          <w:b/>
          <w:bCs/>
          <w:highlight w:val="white"/>
        </w:rPr>
        <w:t xml:space="preserve">к административному регламенту</w:t>
      </w:r>
      <w:r>
        <w:rPr>
          <w:highlight w:val="white"/>
        </w:rPr>
      </w:r>
    </w:p>
    <w:p>
      <w:pPr>
        <w:jc w:val="right"/>
        <w:widowControl w:val="off"/>
        <w:rPr>
          <w:highlight w:val="white"/>
        </w:rPr>
      </w:pPr>
      <w:r>
        <w:rPr>
          <w:b/>
          <w:bCs/>
          <w:highlight w:val="white"/>
        </w:rPr>
        <w:t xml:space="preserve"> </w:t>
      </w:r>
      <w:r>
        <w:rPr>
          <w:highlight w:val="white"/>
        </w:rPr>
      </w:r>
    </w:p>
    <w:p>
      <w:pPr>
        <w:jc w:val="right"/>
        <w:widowControl w:val="off"/>
        <w:rPr>
          <w:b/>
          <w:bCs/>
          <w:highlight w:val="white"/>
        </w:rPr>
      </w:pPr>
      <w:r>
        <w:rPr>
          <w:b/>
          <w:bCs/>
          <w:highlight w:val="white"/>
        </w:rPr>
        <w:t xml:space="preserve">В межведомственную комиссию 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jc w:val="right"/>
        <w:widowControl w:val="off"/>
        <w:rPr>
          <w:b/>
          <w:bCs/>
          <w:highlight w:val="white"/>
        </w:rPr>
      </w:pPr>
      <w:r>
        <w:rPr>
          <w:b/>
          <w:bCs/>
          <w:highlight w:val="white"/>
        </w:rPr>
        <w:t xml:space="preserve">по признанию помещения жилым помещением, 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jc w:val="right"/>
        <w:widowControl w:val="off"/>
        <w:rPr>
          <w:b/>
          <w:bCs/>
          <w:highlight w:val="white"/>
        </w:rPr>
      </w:pPr>
      <w:r>
        <w:rPr>
          <w:b/>
          <w:bCs/>
          <w:highlight w:val="white"/>
        </w:rPr>
        <w:t xml:space="preserve">жилого помещения </w:t>
      </w:r>
      <w:r>
        <w:rPr>
          <w:b/>
          <w:bCs/>
          <w:highlight w:val="white"/>
        </w:rPr>
        <w:t xml:space="preserve">пригодным</w:t>
      </w:r>
      <w:r>
        <w:rPr>
          <w:b/>
          <w:bCs/>
          <w:highlight w:val="white"/>
        </w:rPr>
        <w:t xml:space="preserve"> (непригодным) 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jc w:val="right"/>
        <w:widowControl w:val="off"/>
        <w:rPr>
          <w:b/>
          <w:bCs/>
          <w:highlight w:val="white"/>
        </w:rPr>
      </w:pPr>
      <w:r>
        <w:rPr>
          <w:b/>
          <w:bCs/>
          <w:highlight w:val="white"/>
        </w:rPr>
        <w:t xml:space="preserve">для проживания граждан, а также многоквартирного дома 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jc w:val="right"/>
        <w:widowControl w:val="off"/>
        <w:rPr>
          <w:b/>
          <w:bCs/>
          <w:highlight w:val="white"/>
        </w:rPr>
      </w:pPr>
      <w:r>
        <w:rPr>
          <w:b/>
          <w:bCs/>
          <w:highlight w:val="white"/>
        </w:rPr>
        <w:t xml:space="preserve">аварийным и подлежащим сносу или 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jc w:val="right"/>
        <w:widowControl w:val="off"/>
        <w:rPr>
          <w:b/>
          <w:bCs/>
          <w:highlight w:val="white"/>
        </w:rPr>
      </w:pPr>
      <w:r>
        <w:rPr>
          <w:b/>
          <w:bCs/>
          <w:highlight w:val="white"/>
        </w:rPr>
        <w:t xml:space="preserve">реконструкции (далее – комиссия)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jc w:val="right"/>
        <w:widowControl w:val="off"/>
        <w:rPr>
          <w:b/>
          <w:bCs/>
          <w:highlight w:val="white"/>
        </w:rPr>
      </w:pPr>
      <w:r>
        <w:rPr>
          <w:b/>
          <w:bCs/>
          <w:highlight w:val="white"/>
        </w:rPr>
        <w:t xml:space="preserve">администрации муниципального образования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jc w:val="right"/>
        <w:widowControl w:val="off"/>
        <w:rPr>
          <w:highlight w:val="white"/>
        </w:rPr>
      </w:pPr>
      <w:r>
        <w:rPr>
          <w:b/>
          <w:bCs/>
          <w:highlight w:val="white"/>
        </w:rPr>
        <w:t xml:space="preserve">_____________________________________________________</w:t>
      </w:r>
      <w:r>
        <w:rPr>
          <w:highlight w:val="white"/>
        </w:rPr>
      </w:r>
    </w:p>
    <w:p>
      <w:pPr>
        <w:jc w:val="right"/>
        <w:widowControl w:val="off"/>
        <w:rPr>
          <w:highlight w:val="white"/>
        </w:rPr>
      </w:pPr>
      <w:r>
        <w:rPr>
          <w:highlight w:val="white"/>
        </w:rPr>
        <w:t xml:space="preserve">от _____________________________________________________</w:t>
      </w:r>
      <w:r>
        <w:rPr>
          <w:highlight w:val="white"/>
        </w:rPr>
      </w:r>
    </w:p>
    <w:p>
      <w:pPr>
        <w:jc w:val="right"/>
        <w:widowControl w:val="off"/>
        <w:rPr>
          <w:highlight w:val="white"/>
        </w:rPr>
      </w:pPr>
      <w:r>
        <w:rPr>
          <w:highlight w:val="white"/>
        </w:rPr>
        <w:t xml:space="preserve">(указать статус заявителя) </w:t>
      </w:r>
      <w:r>
        <w:rPr>
          <w:highlight w:val="white"/>
        </w:rPr>
      </w:r>
    </w:p>
    <w:p>
      <w:pPr>
        <w:jc w:val="right"/>
        <w:widowControl w:val="off"/>
        <w:rPr>
          <w:highlight w:val="white"/>
        </w:rPr>
      </w:pPr>
      <w:r>
        <w:rPr>
          <w:highlight w:val="white"/>
        </w:rPr>
        <w:t xml:space="preserve">_____________________________________________________</w:t>
      </w:r>
      <w:r>
        <w:rPr>
          <w:highlight w:val="white"/>
        </w:rPr>
      </w:r>
    </w:p>
    <w:p>
      <w:pPr>
        <w:jc w:val="right"/>
        <w:widowControl w:val="off"/>
        <w:rPr>
          <w:highlight w:val="white"/>
        </w:rPr>
      </w:pPr>
      <w:r>
        <w:rPr>
          <w:highlight w:val="white"/>
        </w:rPr>
        <w:t xml:space="preserve">(фамилия, имя, отчество гражданина, наименование, </w:t>
      </w:r>
      <w:r>
        <w:rPr>
          <w:highlight w:val="white"/>
        </w:rPr>
      </w:r>
    </w:p>
    <w:p>
      <w:pPr>
        <w:jc w:val="right"/>
        <w:widowControl w:val="off"/>
        <w:rPr>
          <w:highlight w:val="white"/>
        </w:rPr>
      </w:pPr>
      <w:r>
        <w:rPr>
          <w:highlight w:val="white"/>
        </w:rPr>
        <w:t xml:space="preserve">адрес места нахождения юридического лица)</w:t>
      </w:r>
      <w:r>
        <w:rPr>
          <w:highlight w:val="white"/>
        </w:rPr>
      </w:r>
    </w:p>
    <w:p>
      <w:pPr>
        <w:jc w:val="right"/>
        <w:widowControl w:val="off"/>
        <w:rPr>
          <w:highlight w:val="white"/>
        </w:rPr>
      </w:pPr>
      <w:r>
        <w:rPr>
          <w:highlight w:val="white"/>
        </w:rPr>
        <w:t xml:space="preserve">_____________________________________________________</w:t>
      </w:r>
      <w:r>
        <w:rPr>
          <w:highlight w:val="white"/>
        </w:rPr>
      </w:r>
    </w:p>
    <w:p>
      <w:pPr>
        <w:jc w:val="right"/>
        <w:widowControl w:val="off"/>
        <w:rPr>
          <w:highlight w:val="white"/>
        </w:rPr>
      </w:pPr>
      <w:r>
        <w:rPr>
          <w:highlight w:val="white"/>
        </w:rPr>
        <w:t xml:space="preserve">(адрес места жительства/нахождения)</w:t>
      </w:r>
      <w:r>
        <w:rPr>
          <w:highlight w:val="white"/>
        </w:rPr>
      </w:r>
    </w:p>
    <w:p>
      <w:pPr>
        <w:jc w:val="right"/>
        <w:widowControl w:val="off"/>
        <w:rPr>
          <w:highlight w:val="white"/>
        </w:rPr>
      </w:pPr>
      <w:r>
        <w:rPr>
          <w:highlight w:val="white"/>
        </w:rPr>
        <w:t xml:space="preserve">_____________________________________________________</w:t>
      </w:r>
      <w:r>
        <w:rPr>
          <w:highlight w:val="white"/>
        </w:rPr>
      </w:r>
    </w:p>
    <w:p>
      <w:pPr>
        <w:jc w:val="right"/>
        <w:widowControl w:val="off"/>
        <w:rPr>
          <w:highlight w:val="white"/>
        </w:rPr>
      </w:pPr>
      <w:r>
        <w:rPr>
          <w:highlight w:val="white"/>
        </w:rPr>
        <w:t xml:space="preserve">(контактный телефон)</w:t>
      </w:r>
      <w:r>
        <w:rPr>
          <w:highlight w:val="white"/>
        </w:rPr>
      </w:r>
    </w:p>
    <w:p>
      <w:pPr>
        <w:jc w:val="right"/>
        <w:widowControl w:val="o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widowControl w:val="off"/>
        <w:rPr>
          <w:b/>
          <w:bCs/>
          <w:highlight w:val="white"/>
        </w:rPr>
      </w:pPr>
      <w:r>
        <w:rPr>
          <w:b/>
          <w:bCs/>
          <w:highlight w:val="white"/>
        </w:rPr>
        <w:t xml:space="preserve">ЗАПРОС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jc w:val="center"/>
        <w:widowControl w:val="off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widowControl w:val="off"/>
        <w:rPr>
          <w:highlight w:val="white"/>
        </w:rPr>
      </w:pPr>
      <w:r>
        <w:rPr>
          <w:highlight w:val="white"/>
        </w:rPr>
        <w:t xml:space="preserve">Прошу провести оценку соответствия помещения  по  адресу:</w:t>
      </w:r>
      <w:r>
        <w:rPr>
          <w:highlight w:val="white"/>
        </w:rPr>
      </w:r>
    </w:p>
    <w:p>
      <w:pPr>
        <w:widowControl w:val="off"/>
        <w:rPr>
          <w:highlight w:val="white"/>
        </w:rPr>
      </w:pPr>
      <w:r>
        <w:rPr>
          <w:highlight w:val="white"/>
        </w:rPr>
        <w:t xml:space="preserve">__________________________________________________________________________________</w:t>
      </w:r>
      <w:r>
        <w:rPr>
          <w:highlight w:val="white"/>
        </w:rPr>
        <w:br/>
        <w:t xml:space="preserve">кадастровый номер (при наличии): __________________________________________________</w:t>
      </w:r>
      <w:r>
        <w:rPr>
          <w:highlight w:val="white"/>
        </w:rPr>
      </w:r>
    </w:p>
    <w:p>
      <w:pPr>
        <w:jc w:val="both"/>
        <w:rPr>
          <w:highlight w:val="white"/>
        </w:rPr>
      </w:pPr>
      <w:r>
        <w:rPr>
          <w:highlight w:val="white"/>
        </w:rPr>
        <w:t xml:space="preserve">требованиям, установленным в Положени</w:t>
      </w:r>
      <w:r>
        <w:rPr>
          <w:highlight w:val="white"/>
        </w:rPr>
        <w:t xml:space="preserve">и</w:t>
      </w:r>
      <w:r>
        <w:rPr>
          <w:highlight w:val="white"/>
        </w:rPr>
        <w:t xml:space="preserve"> о признании помещения жилым помещением, жилого помещения непригодным для проживания, многоквартирного дома аварийным </w:t>
      </w:r>
      <w:r>
        <w:rPr>
          <w:highlight w:val="white"/>
        </w:rPr>
        <w:br/>
        <w:t xml:space="preserve">и подлежащим сносу или реконструкции, садового дома жилым домом и жилого дома садовым домом, утвержденном постановлением Правительства Российской Федерации от 28.01.2006 </w:t>
      </w:r>
      <w:r>
        <w:rPr>
          <w:highlight w:val="white"/>
        </w:rPr>
        <w:br/>
        <w:t xml:space="preserve">№ 47, и признать его _____________________________________________</w:t>
      </w:r>
      <w:r>
        <w:rPr>
          <w:highlight w:val="white"/>
        </w:rPr>
      </w:r>
    </w:p>
    <w:p>
      <w:pPr>
        <w:jc w:val="center"/>
        <w:widowControl w:val="off"/>
        <w:rPr>
          <w:highlight w:val="white"/>
        </w:rPr>
      </w:pPr>
      <w:r>
        <w:rPr>
          <w:highlight w:val="white"/>
        </w:rPr>
        <w:t xml:space="preserve">(жилым помещением / непригодным для проживания / аварийным и подлежащим сносу или реконструкции)</w:t>
      </w:r>
      <w:r>
        <w:rPr>
          <w:highlight w:val="white"/>
        </w:rPr>
      </w:r>
    </w:p>
    <w:p>
      <w:pPr>
        <w:widowControl w:val="off"/>
        <w:rPr>
          <w:highlight w:val="white"/>
        </w:rPr>
      </w:pPr>
      <w:r>
        <w:rPr>
          <w:highlight w:val="white"/>
        </w:rPr>
        <w:t xml:space="preserve">К заявлению прилагаются:</w:t>
      </w:r>
      <w:r>
        <w:rPr>
          <w:highlight w:val="white"/>
        </w:rPr>
      </w:r>
    </w:p>
    <w:p>
      <w:pPr>
        <w:widowControl w:val="off"/>
        <w:rPr>
          <w:highlight w:val="white"/>
        </w:rPr>
      </w:pPr>
      <w:r>
        <w:rPr>
          <w:highlight w:val="white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highlight w:val="white"/>
        </w:rPr>
      </w:r>
    </w:p>
    <w:p>
      <w:pPr>
        <w:widowControl w:val="off"/>
        <w:rPr>
          <w:highlight w:val="white"/>
        </w:rPr>
        <w:pBdr>
          <w:bottom w:val="single" w:color="000000" w:sz="12" w:space="1"/>
        </w:pBdr>
      </w:pPr>
      <w:r>
        <w:rPr>
          <w:highlight w:val="white"/>
        </w:rPr>
      </w:r>
      <w:r>
        <w:rPr>
          <w:highlight w:val="white"/>
        </w:rPr>
      </w:r>
    </w:p>
    <w:p>
      <w:pPr>
        <w:widowControl w:val="off"/>
        <w:rPr>
          <w:highlight w:val="white"/>
        </w:rPr>
      </w:pPr>
      <w:r>
        <w:rPr>
          <w:highlight w:val="white"/>
        </w:rPr>
        <w:t xml:space="preserve">Дополнительные документы __________________________________________________________________________________________________________________________________________________________</w:t>
      </w:r>
      <w:r>
        <w:rPr>
          <w:highlight w:val="white"/>
        </w:rPr>
      </w:r>
    </w:p>
    <w:p>
      <w:pPr>
        <w:pStyle w:val="989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89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Результат рассмотрения </w:t>
      </w:r>
      <w:r>
        <w:rPr>
          <w:sz w:val="24"/>
          <w:szCs w:val="24"/>
          <w:highlight w:val="white"/>
        </w:rPr>
        <w:t xml:space="preserve">запроса</w:t>
      </w:r>
      <w:r>
        <w:rPr>
          <w:sz w:val="24"/>
          <w:szCs w:val="24"/>
          <w:highlight w:val="white"/>
        </w:rPr>
        <w:t xml:space="preserve"> прошу: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89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</w:t>
      </w:r>
      <w:r>
        <w:rPr>
          <w:sz w:val="24"/>
          <w:szCs w:val="24"/>
          <w:highlight w:val="white"/>
        </w:rPr>
        <w:tab/>
        <w:t xml:space="preserve">Выдать на руки в Администрации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89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</w:t>
      </w:r>
      <w:r>
        <w:rPr>
          <w:sz w:val="24"/>
          <w:szCs w:val="24"/>
          <w:highlight w:val="white"/>
        </w:rPr>
        <w:tab/>
        <w:t xml:space="preserve">Выдать на руки в МФЦ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89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</w:t>
      </w:r>
      <w:r>
        <w:rPr>
          <w:sz w:val="24"/>
          <w:szCs w:val="24"/>
          <w:highlight w:val="white"/>
        </w:rPr>
        <w:tab/>
        <w:t xml:space="preserve">Направить по почте</w:t>
      </w:r>
      <w:r>
        <w:rPr>
          <w:sz w:val="24"/>
          <w:szCs w:val="24"/>
          <w:highlight w:val="white"/>
        </w:rPr>
        <w:t xml:space="preserve">:</w:t>
      </w:r>
      <w:r>
        <w:rPr>
          <w:sz w:val="24"/>
          <w:szCs w:val="24"/>
          <w:highlight w:val="white"/>
        </w:rPr>
        <w:t xml:space="preserve"> ______________________________________________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89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</w:t>
      </w:r>
      <w:r>
        <w:rPr>
          <w:sz w:val="24"/>
          <w:szCs w:val="24"/>
          <w:highlight w:val="white"/>
        </w:rPr>
        <w:tab/>
        <w:t xml:space="preserve">Направить в электронной форме в личный кабинет на ЕПГУ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89"/>
        <w:widowControl w:val="off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pStyle w:val="989"/>
        <w:widowControl w:val="off"/>
        <w:rPr>
          <w:highlight w:val="white"/>
        </w:rPr>
      </w:pPr>
      <w:r>
        <w:rPr>
          <w:highlight w:val="white"/>
        </w:rPr>
        <w:t xml:space="preserve">___________________                                                                                          __________________</w:t>
      </w:r>
      <w:r>
        <w:rPr>
          <w:highlight w:val="white"/>
        </w:rPr>
      </w:r>
    </w:p>
    <w:p>
      <w:pPr>
        <w:widowControl w:val="off"/>
        <w:rPr>
          <w:b/>
          <w:bCs/>
          <w:highlight w:val="white"/>
        </w:rPr>
      </w:pPr>
      <w:r>
        <w:rPr>
          <w:highlight w:val="white"/>
        </w:rPr>
        <w:t xml:space="preserve">(дата)                                                                                                              (подпись)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spacing w:after="200" w:line="276" w:lineRule="auto"/>
        <w:rPr>
          <w:b/>
          <w:bCs/>
          <w:highlight w:val="white"/>
        </w:rPr>
      </w:pPr>
      <w:r>
        <w:rPr>
          <w:b/>
          <w:bCs/>
          <w:highlight w:val="white"/>
        </w:rPr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ind w:left="7788"/>
        <w:rPr>
          <w:b/>
          <w:bCs/>
          <w:sz w:val="28"/>
          <w:szCs w:val="20"/>
          <w:highlight w:val="white"/>
        </w:rPr>
      </w:pPr>
      <w:r>
        <w:rPr>
          <w:b/>
          <w:bCs/>
          <w:sz w:val="28"/>
          <w:szCs w:val="20"/>
          <w:highlight w:val="white"/>
        </w:rPr>
        <w:t xml:space="preserve">       </w:t>
      </w:r>
      <w:r>
        <w:rPr>
          <w:b/>
          <w:bCs/>
          <w:sz w:val="28"/>
          <w:szCs w:val="20"/>
          <w:highlight w:val="white"/>
        </w:rPr>
        <w:t xml:space="preserve">Образец № 2</w:t>
      </w:r>
      <w:r>
        <w:rPr>
          <w:b/>
          <w:bCs/>
          <w:sz w:val="28"/>
          <w:szCs w:val="20"/>
          <w:highlight w:val="white"/>
        </w:rPr>
      </w:r>
      <w:r>
        <w:rPr>
          <w:b/>
          <w:bCs/>
          <w:sz w:val="28"/>
          <w:szCs w:val="20"/>
          <w:highlight w:val="white"/>
        </w:rPr>
      </w:r>
    </w:p>
    <w:p>
      <w:pPr>
        <w:jc w:val="right"/>
        <w:widowControl w:val="off"/>
        <w:rPr>
          <w:highlight w:val="white"/>
        </w:rPr>
      </w:pPr>
      <w:r>
        <w:rPr>
          <w:b/>
          <w:bCs/>
          <w:highlight w:val="white"/>
        </w:rPr>
        <w:t xml:space="preserve">к административному регламенту</w:t>
      </w:r>
      <w:r>
        <w:rPr>
          <w:highlight w:val="white"/>
        </w:rPr>
      </w:r>
    </w:p>
    <w:p>
      <w:pPr>
        <w:ind w:left="-567" w:firstLine="567"/>
        <w:jc w:val="center"/>
        <w:widowControl w:val="off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jc w:val="right"/>
        <w:rPr>
          <w:bCs/>
          <w:highlight w:val="white"/>
        </w:rPr>
      </w:pPr>
      <w:r>
        <w:rPr>
          <w:bCs/>
          <w:highlight w:val="white"/>
        </w:rPr>
        <w:t xml:space="preserve">(форма)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jc w:val="center"/>
        <w:spacing w:before="360" w:after="120"/>
        <w:rPr>
          <w:b/>
          <w:bCs/>
          <w:sz w:val="26"/>
          <w:szCs w:val="26"/>
          <w:highlight w:val="white"/>
        </w:rPr>
      </w:pPr>
      <w:r>
        <w:rPr>
          <w:b/>
          <w:bCs/>
          <w:sz w:val="26"/>
          <w:szCs w:val="26"/>
          <w:highlight w:val="white"/>
        </w:rPr>
        <w:t xml:space="preserve">ЗАКЛЮЧЕНИЕ</w:t>
      </w: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</w:p>
    <w:p>
      <w:pPr>
        <w:ind w:firstLine="567"/>
        <w:jc w:val="center"/>
        <w:spacing w:after="360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об оценке соответствия помещения (многоквартирного дома) требованиям, установленным в Положении о признании помещения жилым помещением, </w:t>
      </w:r>
      <w:r>
        <w:rPr>
          <w:sz w:val="26"/>
          <w:szCs w:val="26"/>
          <w:highlight w:val="white"/>
        </w:rPr>
        <w:br/>
        <w:t xml:space="preserve">жилого помещения непригодным для проживания</w:t>
      </w:r>
      <w:r>
        <w:rPr>
          <w:sz w:val="26"/>
          <w:szCs w:val="26"/>
          <w:highlight w:val="white"/>
        </w:rPr>
        <w:t xml:space="preserve">, многоквартирного дома </w:t>
      </w:r>
      <w:r>
        <w:rPr>
          <w:sz w:val="26"/>
          <w:szCs w:val="26"/>
          <w:highlight w:val="white"/>
        </w:rPr>
        <w:br/>
        <w:t xml:space="preserve">аварийным и подлежащим сносу или реконструкции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tbl>
      <w:tblPr>
        <w:tblW w:w="994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9"/>
        <w:gridCol w:w="3683"/>
        <w:gridCol w:w="1984"/>
        <w:gridCol w:w="3909"/>
      </w:tblGrid>
      <w:tr>
        <w:tblPrEx/>
        <w:trPr>
          <w:cantSplit/>
        </w:trPr>
        <w:tc>
          <w:tcPr>
            <w:tcW w:w="369" w:type="dxa"/>
            <w:vAlign w:val="bottom"/>
            <w:textDirection w:val="lrTb"/>
            <w:noWrap w:val="false"/>
          </w:tcPr>
          <w:p>
            <w:pPr>
              <w:spacing w:line="276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№</w:t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686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985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912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cantSplit/>
        </w:trPr>
        <w:tc>
          <w:tcPr>
            <w:tcW w:w="369" w:type="dxa"/>
            <w:textDirection w:val="lrTb"/>
            <w:noWrap w:val="false"/>
          </w:tcPr>
          <w:p>
            <w:pPr>
              <w:spacing w:line="276" w:lineRule="auto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912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(дата)</w:t>
            </w:r>
            <w:r>
              <w:rPr>
                <w:highlight w:val="white"/>
              </w:rPr>
            </w:r>
          </w:p>
        </w:tc>
      </w:tr>
    </w:tbl>
    <w:p>
      <w:pPr>
        <w:spacing w:before="240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spacing w:val="-2"/>
          <w:sz w:val="20"/>
          <w:szCs w:val="20"/>
          <w:highlight w:val="white"/>
        </w:rPr>
        <w:pBdr>
          <w:top w:val="single" w:color="000000" w:sz="4" w:space="1"/>
        </w:pBdr>
      </w:pPr>
      <w:r>
        <w:rPr>
          <w:spacing w:val="-2"/>
          <w:highlight w:val="white"/>
        </w:rPr>
        <w:t xml:space="preserve">(месторасположение помещения, в том числе наименования населенного пункта и улицы, номера дома и квартиры)</w:t>
      </w:r>
      <w:r>
        <w:rPr>
          <w:spacing w:val="-2"/>
          <w:sz w:val="20"/>
          <w:szCs w:val="20"/>
          <w:highlight w:val="white"/>
        </w:rPr>
      </w:r>
      <w:r>
        <w:rPr>
          <w:spacing w:val="-2"/>
          <w:sz w:val="20"/>
          <w:szCs w:val="20"/>
          <w:highlight w:val="white"/>
        </w:rPr>
      </w:r>
    </w:p>
    <w:p>
      <w:pPr>
        <w:ind w:firstLine="567"/>
        <w:spacing w:before="120"/>
        <w:rPr>
          <w:highlight w:val="white"/>
        </w:rPr>
      </w:pPr>
      <w:r>
        <w:rPr>
          <w:highlight w:val="white"/>
        </w:rPr>
        <w:t xml:space="preserve">Межведомственная комиссия, назначенная  </w:t>
      </w:r>
      <w:r>
        <w:rPr>
          <w:highlight w:val="white"/>
        </w:rPr>
        <w:t xml:space="preserve">_______________________________________</w:t>
      </w:r>
      <w:r>
        <w:rPr>
          <w:highlight w:val="white"/>
        </w:rPr>
      </w:r>
    </w:p>
    <w:p>
      <w:pPr>
        <w:ind w:right="113"/>
        <w:jc w:val="center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(кем назначена, наименование федерального органа исполнительной власти, органа исполнительной власти субъекта Российской Федерации, органа местного самоуправления, дата, номер решения о созыве комиссии)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rPr>
          <w:sz w:val="20"/>
          <w:szCs w:val="20"/>
          <w:highlight w:val="white"/>
        </w:rPr>
      </w:pPr>
      <w:r>
        <w:rPr>
          <w:highlight w:val="white"/>
        </w:rPr>
        <w:t xml:space="preserve">в составе председателя</w:t>
      </w:r>
      <w:r>
        <w:rPr>
          <w:sz w:val="20"/>
          <w:szCs w:val="20"/>
          <w:highlight w:val="white"/>
        </w:rPr>
        <w:t xml:space="preserve">  </w:t>
      </w:r>
      <w:r>
        <w:rPr>
          <w:sz w:val="20"/>
          <w:szCs w:val="20"/>
          <w:highlight w:val="white"/>
        </w:rPr>
        <w:t xml:space="preserve">__________________________________________________________________________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jc w:val="center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tabs>
          <w:tab w:val="right" w:pos="9923" w:leader="none"/>
        </w:tabs>
        <w:rPr>
          <w:highlight w:val="white"/>
        </w:rPr>
      </w:pPr>
      <w:r>
        <w:rPr>
          <w:highlight w:val="white"/>
        </w:rPr>
        <w:t xml:space="preserve">__________________________________________________________________________________</w:t>
      </w:r>
      <w:r>
        <w:rPr>
          <w:highlight w:val="white"/>
        </w:rPr>
        <w:tab/>
        <w:t xml:space="preserve">,</w:t>
      </w:r>
      <w:r>
        <w:rPr>
          <w:highlight w:val="white"/>
        </w:rPr>
      </w:r>
    </w:p>
    <w:p>
      <w:pPr>
        <w:ind w:left="2460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 (Ф.И.О., занимаемая должность и место работы)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rPr>
          <w:sz w:val="2"/>
          <w:szCs w:val="2"/>
          <w:highlight w:val="white"/>
        </w:rPr>
        <w:pBdr>
          <w:top w:val="single" w:color="000000" w:sz="4" w:space="1"/>
        </w:pBdr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  <w:t xml:space="preserve">и членов комиссии  </w:t>
      </w:r>
      <w:r>
        <w:rPr>
          <w:highlight w:val="white"/>
        </w:rPr>
      </w:r>
    </w:p>
    <w:p>
      <w:pPr>
        <w:ind w:left="2069" w:firstLine="55"/>
        <w:rPr>
          <w:sz w:val="20"/>
          <w:szCs w:val="20"/>
          <w:highlight w:val="white"/>
        </w:rPr>
        <w:pBdr>
          <w:top w:val="single" w:color="000000" w:sz="4" w:space="1"/>
        </w:pBdr>
      </w:pPr>
      <w:r>
        <w:rPr>
          <w:sz w:val="20"/>
          <w:szCs w:val="20"/>
          <w:highlight w:val="white"/>
        </w:rPr>
        <w:t xml:space="preserve">                               </w:t>
      </w:r>
      <w:r>
        <w:rPr>
          <w:sz w:val="20"/>
          <w:szCs w:val="20"/>
          <w:highlight w:val="white"/>
        </w:rPr>
        <w:t xml:space="preserve">(Ф.И.О., занимаемая должность и место работы)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  <w:t xml:space="preserve">при участии приглашенных экспертов  </w:t>
      </w:r>
      <w:r>
        <w:rPr>
          <w:highlight w:val="white"/>
        </w:rPr>
      </w:r>
    </w:p>
    <w:p>
      <w:pPr>
        <w:ind w:left="4054"/>
        <w:jc w:val="center"/>
        <w:rPr>
          <w:sz w:val="20"/>
          <w:szCs w:val="20"/>
          <w:highlight w:val="white"/>
        </w:rPr>
        <w:pBdr>
          <w:top w:val="single" w:color="000000" w:sz="4" w:space="1"/>
        </w:pBdr>
      </w:pPr>
      <w:r>
        <w:rPr>
          <w:sz w:val="20"/>
          <w:szCs w:val="20"/>
          <w:highlight w:val="white"/>
        </w:rPr>
        <w:t xml:space="preserve">(Ф.И.О., занимаемая должность и место работы)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rPr>
          <w:sz w:val="2"/>
          <w:szCs w:val="2"/>
          <w:highlight w:val="white"/>
        </w:rPr>
        <w:pBdr>
          <w:top w:val="single" w:color="000000" w:sz="4" w:space="1"/>
        </w:pBdr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rPr>
          <w:sz w:val="2"/>
          <w:szCs w:val="2"/>
          <w:highlight w:val="white"/>
        </w:rPr>
        <w:pBdr>
          <w:top w:val="single" w:color="000000" w:sz="4" w:space="1"/>
        </w:pBdr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  <w:t xml:space="preserve">и приглашенного собственника помещения или уполномоченного им лица  </w:t>
      </w:r>
      <w:r>
        <w:rPr>
          <w:highlight w:val="white"/>
        </w:rPr>
      </w:r>
    </w:p>
    <w:p>
      <w:pPr>
        <w:ind w:left="7785"/>
        <w:rPr>
          <w:sz w:val="2"/>
          <w:szCs w:val="2"/>
          <w:highlight w:val="white"/>
        </w:rPr>
        <w:pBdr>
          <w:top w:val="single" w:color="000000" w:sz="4" w:space="1"/>
        </w:pBdr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sz w:val="20"/>
          <w:szCs w:val="20"/>
          <w:highlight w:val="white"/>
        </w:rPr>
        <w:pBdr>
          <w:top w:val="single" w:color="000000" w:sz="4" w:space="1"/>
        </w:pBdr>
      </w:pPr>
      <w:r>
        <w:rPr>
          <w:sz w:val="20"/>
          <w:szCs w:val="20"/>
          <w:highlight w:val="white"/>
        </w:rPr>
        <w:t xml:space="preserve">(Ф.И.О., занимаемая должность и место работы)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  <w:t xml:space="preserve">по результатам рассмотренных документов  </w:t>
      </w:r>
      <w:r>
        <w:rPr>
          <w:highlight w:val="white"/>
        </w:rPr>
      </w:r>
    </w:p>
    <w:p>
      <w:pPr>
        <w:ind w:left="4576"/>
        <w:jc w:val="center"/>
        <w:rPr>
          <w:sz w:val="20"/>
          <w:szCs w:val="20"/>
          <w:highlight w:val="white"/>
        </w:rPr>
        <w:pBdr>
          <w:top w:val="single" w:color="000000" w:sz="4" w:space="1"/>
        </w:pBdr>
      </w:pPr>
      <w:r>
        <w:rPr>
          <w:sz w:val="20"/>
          <w:szCs w:val="20"/>
          <w:highlight w:val="white"/>
        </w:rPr>
        <w:t xml:space="preserve">(приводится перечень документов)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rPr>
          <w:sz w:val="2"/>
          <w:szCs w:val="2"/>
          <w:highlight w:val="white"/>
        </w:rPr>
        <w:pBdr>
          <w:top w:val="single" w:color="000000" w:sz="4" w:space="1"/>
        </w:pBdr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p>
      <w:pPr>
        <w:jc w:val="both"/>
        <w:rPr>
          <w:sz w:val="2"/>
          <w:szCs w:val="2"/>
          <w:highlight w:val="white"/>
        </w:rPr>
      </w:pPr>
      <w:r>
        <w:rPr>
          <w:highlight w:val="white"/>
        </w:rPr>
        <w:t xml:space="preserve">и на основании акта межведомственной комиссии, составленного по результатам обследования,</w:t>
      </w:r>
      <w:r>
        <w:rPr>
          <w:highlight w:val="white"/>
        </w:rPr>
        <w:br/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rPr>
          <w:sz w:val="2"/>
          <w:szCs w:val="2"/>
          <w:highlight w:val="white"/>
        </w:rPr>
        <w:pBdr>
          <w:top w:val="single" w:color="000000" w:sz="4" w:space="1"/>
        </w:pBdr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rPr>
          <w:sz w:val="2"/>
          <w:szCs w:val="2"/>
          <w:highlight w:val="white"/>
        </w:rPr>
        <w:pBdr>
          <w:top w:val="single" w:color="000000" w:sz="4" w:space="1"/>
        </w:pBdr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sz w:val="20"/>
          <w:szCs w:val="20"/>
          <w:highlight w:val="white"/>
        </w:rPr>
        <w:pBdr>
          <w:top w:val="single" w:color="000000" w:sz="4" w:space="1"/>
        </w:pBdr>
      </w:pPr>
      <w:r>
        <w:rPr>
          <w:sz w:val="20"/>
          <w:szCs w:val="20"/>
          <w:highlight w:val="white"/>
        </w:rPr>
        <w:t xml:space="preserve">(приводится заключение, взятое из акта обследования (в случае проведения обследования), или указывается, что на основании решения межведомственной комиссии обследование не проводилось)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rPr>
          <w:sz w:val="2"/>
          <w:szCs w:val="2"/>
          <w:highlight w:val="white"/>
        </w:rPr>
        <w:pBdr>
          <w:top w:val="single" w:color="000000" w:sz="4" w:space="1"/>
        </w:pBdr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p>
      <w:pPr>
        <w:keepNext/>
        <w:rPr>
          <w:highlight w:val="white"/>
        </w:rPr>
      </w:pPr>
      <w:r>
        <w:rPr>
          <w:highlight w:val="white"/>
        </w:rPr>
        <w:t xml:space="preserve">приняла заключение о  </w:t>
      </w:r>
      <w:r>
        <w:rPr>
          <w:highlight w:val="white"/>
        </w:rPr>
      </w:r>
    </w:p>
    <w:p>
      <w:pPr>
        <w:keepNext/>
        <w:rPr>
          <w:highlight w:val="white"/>
        </w:rPr>
      </w:pPr>
      <w:r>
        <w:rPr>
          <w:highlight w:val="white"/>
        </w:rPr>
        <w:t xml:space="preserve">__________________________________________________________________________________</w:t>
      </w:r>
      <w:r>
        <w:rPr>
          <w:highlight w:val="white"/>
        </w:rPr>
      </w:r>
    </w:p>
    <w:p>
      <w:pPr>
        <w:keepNext/>
        <w:rPr>
          <w:highlight w:val="white"/>
        </w:rPr>
      </w:pPr>
      <w:r>
        <w:rPr>
          <w:highlight w:val="white"/>
        </w:rPr>
        <w:t xml:space="preserve">__________________________________________________________________________________</w:t>
      </w:r>
      <w:r>
        <w:rPr>
          <w:highlight w:val="white"/>
        </w:rPr>
      </w:r>
    </w:p>
    <w:p>
      <w:pPr>
        <w:keepNext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sz w:val="20"/>
          <w:szCs w:val="20"/>
          <w:highlight w:val="white"/>
        </w:rPr>
        <w:pBdr>
          <w:top w:val="single" w:color="000000" w:sz="4" w:space="1"/>
        </w:pBdr>
      </w:pPr>
      <w:r>
        <w:rPr>
          <w:sz w:val="20"/>
          <w:szCs w:val="20"/>
          <w:highlight w:val="white"/>
        </w:rPr>
        <w:t xml:space="preserve">(приводится обоснование принятого межведомственной комиссией заключ</w:t>
      </w:r>
      <w:r>
        <w:rPr>
          <w:sz w:val="20"/>
          <w:szCs w:val="20"/>
          <w:highlight w:val="white"/>
        </w:rPr>
        <w:t xml:space="preserve">ения об оценке соответствия помещения (многоквартирного дома) требованиям, установленным в Положении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реконструкции)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spacing w:before="480"/>
        <w:rPr>
          <w:highlight w:val="white"/>
        </w:rPr>
      </w:pPr>
      <w:r>
        <w:rPr>
          <w:highlight w:val="white"/>
        </w:rPr>
        <w:t xml:space="preserve">Приложение к заключению:</w:t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  <w:t xml:space="preserve">а) перечень рассмотренных документов;</w:t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  <w:t xml:space="preserve">б) акт обследования помещения (в случае проведения обследования);</w:t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  <w:t xml:space="preserve">в) перечень других материалов, запрошенных межведомственной комиссией;</w:t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  <w:t xml:space="preserve">г) особое мнение членов межведомственной комиссии:</w:t>
      </w:r>
      <w:r>
        <w:rPr>
          <w:highlight w:val="white"/>
        </w:rPr>
      </w:r>
    </w:p>
    <w:p>
      <w:pPr>
        <w:tabs>
          <w:tab w:val="right" w:pos="9923" w:leader="none"/>
        </w:tabs>
        <w:rPr>
          <w:highlight w:val="white"/>
        </w:rPr>
      </w:pPr>
      <w:r>
        <w:rPr>
          <w:highlight w:val="white"/>
        </w:rPr>
        <w:tab/>
        <w:t xml:space="preserve">.</w:t>
      </w:r>
      <w:r>
        <w:rPr>
          <w:highlight w:val="white"/>
        </w:rPr>
      </w:r>
    </w:p>
    <w:p>
      <w:pPr>
        <w:ind w:right="113"/>
        <w:rPr>
          <w:sz w:val="2"/>
          <w:szCs w:val="2"/>
          <w:highlight w:val="white"/>
        </w:rPr>
        <w:pBdr>
          <w:top w:val="single" w:color="000000" w:sz="4" w:space="1"/>
        </w:pBdr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p>
      <w:pPr>
        <w:spacing w:before="480"/>
        <w:rPr>
          <w:highlight w:val="white"/>
        </w:rPr>
      </w:pPr>
      <w:r>
        <w:rPr>
          <w:highlight w:val="white"/>
        </w:rPr>
        <w:t xml:space="preserve">Председатель межведомственной комиссии</w:t>
      </w:r>
      <w:r>
        <w:rPr>
          <w:highlight w:val="white"/>
        </w:rPr>
      </w:r>
    </w:p>
    <w:tbl>
      <w:tblPr>
        <w:tblW w:w="0" w:type="auto"/>
        <w:tblInd w:w="59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5"/>
        <w:gridCol w:w="1276"/>
        <w:gridCol w:w="4989"/>
      </w:tblGrid>
      <w:tr>
        <w:tblPrEx/>
        <w:trPr>
          <w:cantSplit/>
        </w:trPr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ind w:left="-170"/>
              <w:jc w:val="center"/>
              <w:spacing w:line="276" w:lineRule="auto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ind w:left="-170"/>
              <w:jc w:val="center"/>
              <w:spacing w:line="276" w:lineRule="auto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989" w:type="dxa"/>
            <w:vAlign w:val="bottom"/>
            <w:textDirection w:val="lrTb"/>
            <w:noWrap w:val="false"/>
          </w:tcPr>
          <w:p>
            <w:pPr>
              <w:ind w:left="-170"/>
              <w:jc w:val="center"/>
              <w:spacing w:line="276" w:lineRule="auto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cantSplit/>
        </w:trPr>
        <w:tc>
          <w:tcPr>
            <w:tcW w:w="2835" w:type="dxa"/>
            <w:textDirection w:val="lrTb"/>
            <w:noWrap w:val="false"/>
          </w:tcPr>
          <w:p>
            <w:pPr>
              <w:ind w:left="-170"/>
              <w:jc w:val="center"/>
              <w:spacing w:line="276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(подпись)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ind w:left="-170"/>
              <w:jc w:val="center"/>
              <w:spacing w:line="276" w:lineRule="auto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4989" w:type="dxa"/>
            <w:textDirection w:val="lrTb"/>
            <w:noWrap w:val="false"/>
          </w:tcPr>
          <w:p>
            <w:pPr>
              <w:ind w:left="-170"/>
              <w:jc w:val="center"/>
              <w:spacing w:line="276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(Ф.И.О.)</w:t>
            </w:r>
            <w:r>
              <w:rPr>
                <w:highlight w:val="white"/>
              </w:rPr>
            </w:r>
          </w:p>
        </w:tc>
      </w:tr>
    </w:tbl>
    <w:p>
      <w:pPr>
        <w:spacing w:before="240"/>
        <w:rPr>
          <w:highlight w:val="white"/>
        </w:rPr>
      </w:pPr>
      <w:r>
        <w:rPr>
          <w:highlight w:val="white"/>
        </w:rPr>
        <w:t xml:space="preserve">Члены межведомственной комиссии:</w:t>
      </w:r>
      <w:r>
        <w:rPr>
          <w:highlight w:val="white"/>
        </w:rPr>
      </w:r>
    </w:p>
    <w:tbl>
      <w:tblPr>
        <w:tblW w:w="0" w:type="auto"/>
        <w:tblInd w:w="59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5"/>
        <w:gridCol w:w="1276"/>
        <w:gridCol w:w="4989"/>
      </w:tblGrid>
      <w:tr>
        <w:tblPrEx/>
        <w:trPr>
          <w:cantSplit/>
        </w:trPr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ind w:left="-170"/>
              <w:jc w:val="center"/>
              <w:spacing w:line="276" w:lineRule="auto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ind w:left="-170"/>
              <w:jc w:val="center"/>
              <w:spacing w:line="276" w:lineRule="auto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989" w:type="dxa"/>
            <w:vAlign w:val="bottom"/>
            <w:textDirection w:val="lrTb"/>
            <w:noWrap w:val="false"/>
          </w:tcPr>
          <w:p>
            <w:pPr>
              <w:ind w:left="-170"/>
              <w:jc w:val="center"/>
              <w:spacing w:line="276" w:lineRule="auto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cantSplit/>
        </w:trPr>
        <w:tc>
          <w:tcPr>
            <w:tcW w:w="2835" w:type="dxa"/>
            <w:textDirection w:val="lrTb"/>
            <w:noWrap w:val="false"/>
          </w:tcPr>
          <w:p>
            <w:pPr>
              <w:ind w:left="-170"/>
              <w:jc w:val="center"/>
              <w:spacing w:line="276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(подпись)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ind w:left="-170"/>
              <w:jc w:val="center"/>
              <w:spacing w:line="276" w:lineRule="auto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4989" w:type="dxa"/>
            <w:textDirection w:val="lrTb"/>
            <w:noWrap w:val="false"/>
          </w:tcPr>
          <w:p>
            <w:pPr>
              <w:ind w:left="-170"/>
              <w:jc w:val="center"/>
              <w:spacing w:line="276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(Ф.И.О.)</w:t>
            </w:r>
            <w:r>
              <w:rPr>
                <w:highlight w:val="white"/>
              </w:rPr>
            </w:r>
          </w:p>
        </w:tc>
      </w:tr>
    </w:tbl>
    <w:p>
      <w:pPr>
        <w:rPr>
          <w:sz w:val="12"/>
          <w:szCs w:val="12"/>
          <w:highlight w:val="white"/>
        </w:rPr>
      </w:pPr>
      <w:r>
        <w:rPr>
          <w:sz w:val="12"/>
          <w:szCs w:val="12"/>
          <w:highlight w:val="white"/>
        </w:rPr>
      </w:r>
      <w:r>
        <w:rPr>
          <w:sz w:val="12"/>
          <w:szCs w:val="12"/>
          <w:highlight w:val="white"/>
        </w:rPr>
      </w:r>
      <w:r>
        <w:rPr>
          <w:sz w:val="12"/>
          <w:szCs w:val="12"/>
          <w:highlight w:val="white"/>
        </w:rPr>
      </w:r>
    </w:p>
    <w:tbl>
      <w:tblPr>
        <w:tblW w:w="0" w:type="auto"/>
        <w:tblInd w:w="59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5"/>
        <w:gridCol w:w="1276"/>
        <w:gridCol w:w="4989"/>
      </w:tblGrid>
      <w:tr>
        <w:tblPrEx/>
        <w:trPr>
          <w:cantSplit/>
        </w:trPr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ind w:left="-170"/>
              <w:jc w:val="center"/>
              <w:spacing w:line="276" w:lineRule="auto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276" w:type="dxa"/>
            <w:vAlign w:val="bottom"/>
            <w:textDirection w:val="lrTb"/>
            <w:noWrap w:val="false"/>
          </w:tcPr>
          <w:p>
            <w:pPr>
              <w:ind w:left="-170"/>
              <w:jc w:val="center"/>
              <w:spacing w:line="276" w:lineRule="auto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989" w:type="dxa"/>
            <w:vAlign w:val="bottom"/>
            <w:textDirection w:val="lrTb"/>
            <w:noWrap w:val="false"/>
          </w:tcPr>
          <w:p>
            <w:pPr>
              <w:ind w:left="-170"/>
              <w:jc w:val="center"/>
              <w:spacing w:line="276" w:lineRule="auto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cantSplit/>
        </w:trPr>
        <w:tc>
          <w:tcPr>
            <w:tcW w:w="2835" w:type="dxa"/>
            <w:textDirection w:val="lrTb"/>
            <w:noWrap w:val="false"/>
          </w:tcPr>
          <w:p>
            <w:pPr>
              <w:ind w:left="-170"/>
              <w:jc w:val="center"/>
              <w:spacing w:line="276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(подпись)</w:t>
            </w:r>
            <w:r>
              <w:rPr>
                <w:highlight w:val="white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ind w:left="-170"/>
              <w:jc w:val="center"/>
              <w:spacing w:line="276" w:lineRule="auto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4989" w:type="dxa"/>
            <w:textDirection w:val="lrTb"/>
            <w:noWrap w:val="false"/>
          </w:tcPr>
          <w:p>
            <w:pPr>
              <w:ind w:left="-170"/>
              <w:jc w:val="center"/>
              <w:spacing w:line="276" w:lineRule="auto"/>
              <w:rPr>
                <w:highlight w:val="white"/>
              </w:rPr>
            </w:pPr>
            <w:r>
              <w:rPr>
                <w:highlight w:val="white"/>
              </w:rPr>
              <w:t xml:space="preserve">(Ф.И.О.)</w:t>
            </w:r>
            <w:r>
              <w:rPr>
                <w:highlight w:val="white"/>
              </w:rPr>
            </w:r>
          </w:p>
        </w:tc>
      </w:tr>
    </w:tbl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spacing w:after="200" w:line="276" w:lineRule="auto"/>
        <w:rPr>
          <w:b/>
          <w:highlight w:val="white"/>
        </w:rPr>
      </w:pPr>
      <w:r>
        <w:rPr>
          <w:b/>
          <w:highlight w:val="white"/>
        </w:rPr>
        <w:br w:type="page" w:clear="all"/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firstLine="6096"/>
        <w:jc w:val="right"/>
        <w:widowControl w:val="off"/>
        <w:rPr>
          <w:b/>
          <w:sz w:val="28"/>
          <w:szCs w:val="20"/>
          <w:highlight w:val="white"/>
        </w:rPr>
      </w:pPr>
      <w:r>
        <w:rPr>
          <w:b/>
          <w:sz w:val="28"/>
          <w:szCs w:val="20"/>
          <w:highlight w:val="white"/>
        </w:rPr>
        <w:t xml:space="preserve">Образец № 3</w:t>
      </w:r>
      <w:r>
        <w:rPr>
          <w:b/>
          <w:sz w:val="28"/>
          <w:szCs w:val="20"/>
          <w:highlight w:val="white"/>
        </w:rPr>
      </w:r>
      <w:r>
        <w:rPr>
          <w:b/>
          <w:sz w:val="28"/>
          <w:szCs w:val="20"/>
          <w:highlight w:val="white"/>
        </w:rPr>
      </w:r>
    </w:p>
    <w:p>
      <w:pPr>
        <w:ind w:firstLine="6096"/>
        <w:jc w:val="right"/>
        <w:widowControl w:val="off"/>
        <w:rPr>
          <w:highlight w:val="white"/>
        </w:rPr>
      </w:pPr>
      <w:r>
        <w:rPr>
          <w:b/>
          <w:highlight w:val="white"/>
        </w:rPr>
        <w:t xml:space="preserve">к административному регламенту</w:t>
      </w:r>
      <w:r>
        <w:rPr>
          <w:highlight w:val="white"/>
        </w:rPr>
      </w:r>
    </w:p>
    <w:p>
      <w:pPr>
        <w:pStyle w:val="969"/>
        <w:ind w:left="-567" w:firstLine="340"/>
        <w:widowControl w:val="off"/>
        <w:tabs>
          <w:tab w:val="left" w:pos="142" w:leader="none"/>
          <w:tab w:val="left" w:pos="284" w:leader="none"/>
        </w:tabs>
        <w:rPr>
          <w:szCs w:val="28"/>
          <w:highlight w:val="white"/>
        </w:rPr>
      </w:pPr>
      <w:r>
        <w:rPr>
          <w:szCs w:val="28"/>
          <w:highlight w:val="white"/>
        </w:rPr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pStyle w:val="969"/>
        <w:ind w:left="-567" w:firstLine="340"/>
        <w:widowControl w:val="off"/>
        <w:tabs>
          <w:tab w:val="left" w:pos="142" w:leader="none"/>
          <w:tab w:val="left" w:pos="284" w:leader="none"/>
        </w:tabs>
        <w:rPr>
          <w:szCs w:val="28"/>
          <w:highlight w:val="white"/>
        </w:rPr>
      </w:pPr>
      <w:r>
        <w:rPr>
          <w:szCs w:val="28"/>
          <w:highlight w:val="white"/>
        </w:rPr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pStyle w:val="969"/>
        <w:ind w:left="-567" w:firstLine="340"/>
        <w:widowControl w:val="off"/>
        <w:tabs>
          <w:tab w:val="left" w:pos="142" w:leader="none"/>
          <w:tab w:val="left" w:pos="284" w:leader="none"/>
        </w:tabs>
        <w:rPr>
          <w:bCs/>
          <w:szCs w:val="28"/>
          <w:highlight w:val="white"/>
        </w:rPr>
      </w:pPr>
      <w:r>
        <w:rPr>
          <w:szCs w:val="28"/>
          <w:highlight w:val="white"/>
        </w:rPr>
        <w:t xml:space="preserve">Типовая форма жалобы на </w:t>
      </w:r>
      <w:r>
        <w:rPr>
          <w:bCs/>
          <w:szCs w:val="28"/>
          <w:highlight w:val="white"/>
        </w:rPr>
        <w:t xml:space="preserve">решения и действия (бездействие) органа, предоставляющего муниципальную услугу, а также должностных лиц, </w:t>
      </w:r>
      <w:r>
        <w:rPr>
          <w:bCs/>
          <w:szCs w:val="28"/>
          <w:highlight w:val="white"/>
        </w:rPr>
        <w:t xml:space="preserve">муниципальн</w:t>
      </w:r>
      <w:r>
        <w:rPr>
          <w:bCs/>
          <w:szCs w:val="28"/>
          <w:highlight w:val="white"/>
        </w:rPr>
        <w:t xml:space="preserve">ых служащих</w:t>
      </w:r>
      <w:r>
        <w:rPr>
          <w:bCs/>
          <w:szCs w:val="28"/>
          <w:highlight w:val="white"/>
        </w:rPr>
      </w:r>
      <w:r>
        <w:rPr>
          <w:bCs/>
          <w:szCs w:val="28"/>
          <w:highlight w:val="white"/>
        </w:rPr>
      </w:r>
    </w:p>
    <w:p>
      <w:pPr>
        <w:pStyle w:val="995"/>
        <w:widowControl w:val="off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95"/>
        <w:widowControl w:val="off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ИСХ. ОТ _____ № _____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95"/>
        <w:widowControl w:val="off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ind w:firstLine="5245"/>
        <w:widowControl w:val="off"/>
        <w:tabs>
          <w:tab w:val="left" w:pos="142" w:leader="none"/>
          <w:tab w:val="left" w:pos="284" w:leader="none"/>
        </w:tabs>
        <w:rPr>
          <w:bCs/>
          <w:highlight w:val="white"/>
        </w:rPr>
      </w:pPr>
      <w:r>
        <w:rPr>
          <w:sz w:val="28"/>
          <w:szCs w:val="28"/>
          <w:highlight w:val="white"/>
        </w:rPr>
        <w:t xml:space="preserve">В</w:t>
      </w:r>
      <w:r>
        <w:rPr>
          <w:bCs/>
          <w:highlight w:val="white"/>
        </w:rPr>
        <w:t xml:space="preserve"> администрацию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ind w:firstLine="5245"/>
        <w:widowControl w:val="off"/>
        <w:tabs>
          <w:tab w:val="left" w:pos="142" w:leader="none"/>
          <w:tab w:val="left" w:pos="284" w:leader="none"/>
        </w:tabs>
        <w:rPr>
          <w:sz w:val="28"/>
          <w:szCs w:val="28"/>
          <w:highlight w:val="white"/>
        </w:rPr>
      </w:pPr>
      <w:r>
        <w:rPr>
          <w:bCs/>
          <w:highlight w:val="white"/>
        </w:rPr>
        <w:t xml:space="preserve">муниципального образования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5245"/>
        <w:widowControl w:val="off"/>
        <w:tabs>
          <w:tab w:val="left" w:pos="142" w:leader="none"/>
          <w:tab w:val="left" w:pos="284" w:leader="none"/>
        </w:tabs>
        <w:rPr>
          <w:b/>
          <w:bCs/>
          <w:highlight w:val="white"/>
        </w:rPr>
      </w:pPr>
      <w:r>
        <w:rPr>
          <w:sz w:val="28"/>
          <w:szCs w:val="28"/>
          <w:highlight w:val="white"/>
        </w:rPr>
        <w:t xml:space="preserve">_____________________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995"/>
        <w:widowControl w:val="off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95"/>
        <w:jc w:val="center"/>
        <w:widowControl w:val="off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95"/>
        <w:jc w:val="center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ЖАЛОБА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95"/>
        <w:jc w:val="center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9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   Полное   наименование   юридического   лица,   Ф.И.О.   индивидуального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9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предпринимателя, Ф.И.О. гражданина: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9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9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 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(местонахождение юридического лица, индивидуального предпринимателя,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9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                     гражданина (фактический адрес)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9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9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9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9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Телефон, адрес электронной почты, ИНН, КПП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9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9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9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Ф.И.О. руководителя юридического лица ______________________________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9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на действия (бездействие), решение: ___________________________________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9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9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   Наименование органа или должность, Ф.И.О. должностного лица органа,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9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          решение, действие (бездействие) которого обжалуется: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9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9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Существо жалобы: 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9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9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  Краткое изложение обжалуемых решений, действий (бездействия), указать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9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  основания, по которым лицо, подающее жалобу, не согласно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вынесенным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9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решением, действием (бездействием), со ссылками на пункты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административного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9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                        регламента, нормы законы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9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9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9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Перечень прилагаемых документов: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9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9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М.П. ___________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9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9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95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Подпись руководителя юридического лица, индивидуального предпринимателя, гражданина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jc w:val="right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sectPr>
      <w:headerReference w:type="default" r:id="rId9"/>
      <w:headerReference w:type="even" r:id="rId10"/>
      <w:footerReference w:type="default" r:id="rId11"/>
      <w:footnotePr/>
      <w:endnotePr/>
      <w:type w:val="nextPage"/>
      <w:pgSz w:w="11906" w:h="16838" w:orient="portrait"/>
      <w:pgMar w:top="1134" w:right="850" w:bottom="1135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3020204020204"/>
  </w:font>
  <w:font w:name="Wingdings">
    <w:panose1 w:val="05010000000000000000"/>
  </w:font>
  <w:font w:name="Symbol">
    <w:panose1 w:val="05010000000000000000"/>
  </w:font>
  <w:font w:name="Calibri">
    <w:panose1 w:val="020F0502020204030204"/>
  </w:font>
  <w:font w:name="Verdana">
    <w:panose1 w:val="020B0604030504040204"/>
  </w:font>
  <w:font w:name="Courier New">
    <w:panose1 w:val="02070309020205020404"/>
  </w:font>
  <w:font w:name="Cambria">
    <w:panose1 w:val="02040803050406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57830436"/>
      <w:docPartObj>
        <w:docPartGallery w:val="Page Numbers (Bottom of Page)"/>
        <w:docPartUnique w:val="true"/>
      </w:docPartObj>
      <w:rPr/>
    </w:sdtPr>
    <w:sdtContent>
      <w:p>
        <w:pPr>
          <w:pStyle w:val="97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20</w:t>
        </w:r>
        <w:r>
          <w:fldChar w:fldCharType="end"/>
        </w:r>
        <w:r/>
      </w:p>
    </w:sdtContent>
  </w:sdt>
  <w:p>
    <w:pPr>
      <w:pStyle w:val="97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3"/>
      <w:framePr w:wrap="around" w:vAnchor="text" w:hAnchor="page" w:x="10944" w:y="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3"/>
      <w:rPr>
        <w:rStyle w:val="980"/>
      </w:rPr>
      <w:framePr w:wrap="around" w:vAnchor="text" w:hAnchor="margin" w:xAlign="right" w:y="1"/>
    </w:pPr>
    <w:r>
      <w:rPr>
        <w:rStyle w:val="980"/>
      </w:rPr>
      <w:fldChar w:fldCharType="begin"/>
    </w:r>
    <w:r>
      <w:rPr>
        <w:rStyle w:val="980"/>
      </w:rPr>
      <w:instrText xml:space="preserve">PAGE  </w:instrText>
    </w:r>
    <w:r>
      <w:rPr>
        <w:rStyle w:val="980"/>
      </w:rPr>
      <w:fldChar w:fldCharType="separate"/>
    </w:r>
    <w:r>
      <w:rPr>
        <w:rStyle w:val="980"/>
      </w:rPr>
      <w:t xml:space="preserve">2</w:t>
    </w:r>
    <w:r>
      <w:rPr>
        <w:rStyle w:val="980"/>
      </w:rPr>
      <w:fldChar w:fldCharType="end"/>
    </w:r>
    <w:r>
      <w:rPr>
        <w:rStyle w:val="980"/>
      </w:rPr>
    </w:r>
    <w:r>
      <w:rPr>
        <w:rStyle w:val="980"/>
      </w:rPr>
    </w:r>
  </w:p>
  <w:p>
    <w:pPr>
      <w:pStyle w:val="973"/>
      <w:ind w:right="36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color w:val="31849b" w:themeColor="accent5" w:themeShade="BF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0" w:hanging="360"/>
        <w:tabs>
          <w:tab w:val="num" w:pos="108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abstractNum w:abstractNumId="6">
    <w:multiLevelType w:val="hybridMultilevel"/>
    <w:lvl w:ilvl="0">
      <w:start w:val="25"/>
      <w:numFmt w:val="bullet"/>
      <w:isLgl w:val="false"/>
      <w:suff w:val="tab"/>
      <w:lvlText w:val="-"/>
      <w:lvlJc w:val="left"/>
      <w:pPr>
        <w:ind w:left="720" w:hanging="360"/>
        <w:tabs>
          <w:tab w:val="num" w:pos="720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0" w:hanging="360"/>
        <w:tabs>
          <w:tab w:val="num" w:pos="108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0" w:hanging="360"/>
        <w:tabs>
          <w:tab w:val="num" w:pos="108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0" w:firstLine="72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714" w:hanging="100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30">
    <w:multiLevelType w:val="hybridMultilevel"/>
    <w:lvl w:ilvl="0">
      <w:start w:val="2"/>
      <w:numFmt w:val="decimal"/>
      <w:isLgl w:val="false"/>
      <w:suff w:val="tab"/>
      <w:lvlText w:val="%1)"/>
      <w:lvlJc w:val="left"/>
      <w:pPr>
        <w:ind w:left="1080" w:hanging="360"/>
        <w:tabs>
          <w:tab w:val="num" w:pos="108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29" w:hanging="360"/>
      </w:pPr>
      <w:rPr>
        <w:rFonts w:hint="default" w:ascii="Segoe UI" w:hAnsi="Segoe UI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70" w:hanging="147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038" w:hanging="147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910" w:hanging="147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0" w:hanging="147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350" w:hanging="147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70" w:hanging="147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0" w:firstLine="680"/>
        <w:tabs>
          <w:tab w:val="num" w:pos="68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0" w:firstLine="680"/>
        <w:tabs>
          <w:tab w:val="num" w:pos="68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  <w:tabs>
          <w:tab w:val="num" w:pos="54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260" w:hanging="360"/>
        <w:tabs>
          <w:tab w:val="num" w:pos="12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80" w:hanging="180"/>
        <w:tabs>
          <w:tab w:val="num" w:pos="19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700" w:hanging="360"/>
        <w:tabs>
          <w:tab w:val="num" w:pos="27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420" w:hanging="360"/>
        <w:tabs>
          <w:tab w:val="num" w:pos="34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140" w:hanging="180"/>
        <w:tabs>
          <w:tab w:val="num" w:pos="41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60" w:hanging="360"/>
        <w:tabs>
          <w:tab w:val="num" w:pos="48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80" w:hanging="360"/>
        <w:tabs>
          <w:tab w:val="num" w:pos="55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300" w:hanging="180"/>
        <w:tabs>
          <w:tab w:val="num" w:pos="6300" w:leader="none"/>
        </w:tabs>
      </w:pPr>
    </w:lvl>
  </w:abstractNum>
  <w:num w:numId="1">
    <w:abstractNumId w:val="5"/>
  </w:num>
  <w:num w:numId="2">
    <w:abstractNumId w:val="12"/>
  </w:num>
  <w:num w:numId="3">
    <w:abstractNumId w:val="26"/>
  </w:num>
  <w:num w:numId="4">
    <w:abstractNumId w:val="6"/>
  </w:num>
  <w:num w:numId="5">
    <w:abstractNumId w:val="7"/>
  </w:num>
  <w:num w:numId="6">
    <w:abstractNumId w:val="40"/>
  </w:num>
  <w:num w:numId="7">
    <w:abstractNumId w:val="18"/>
  </w:num>
  <w:num w:numId="8">
    <w:abstractNumId w:val="24"/>
  </w:num>
  <w:num w:numId="9">
    <w:abstractNumId w:val="37"/>
  </w:num>
  <w:num w:numId="10">
    <w:abstractNumId w:val="39"/>
  </w:num>
  <w:num w:numId="11">
    <w:abstractNumId w:val="16"/>
  </w:num>
  <w:num w:numId="12">
    <w:abstractNumId w:val="30"/>
  </w:num>
  <w:num w:numId="13">
    <w:abstractNumId w:val="33"/>
  </w:num>
  <w:num w:numId="14">
    <w:abstractNumId w:val="0"/>
  </w:num>
  <w:num w:numId="15">
    <w:abstractNumId w:val="25"/>
  </w:num>
  <w:num w:numId="16">
    <w:abstractNumId w:val="34"/>
  </w:num>
  <w:num w:numId="17">
    <w:abstractNumId w:val="32"/>
  </w:num>
  <w:num w:numId="18">
    <w:abstractNumId w:val="21"/>
  </w:num>
  <w:num w:numId="19">
    <w:abstractNumId w:val="17"/>
  </w:num>
  <w:num w:numId="20">
    <w:abstractNumId w:val="4"/>
  </w:num>
  <w:num w:numId="21">
    <w:abstractNumId w:val="19"/>
  </w:num>
  <w:num w:numId="22">
    <w:abstractNumId w:val="15"/>
  </w:num>
  <w:num w:numId="23">
    <w:abstractNumId w:val="31"/>
  </w:num>
  <w:num w:numId="24">
    <w:abstractNumId w:val="23"/>
  </w:num>
  <w:num w:numId="25">
    <w:abstractNumId w:val="29"/>
  </w:num>
  <w:num w:numId="26">
    <w:abstractNumId w:val="8"/>
  </w:num>
  <w:num w:numId="27">
    <w:abstractNumId w:val="9"/>
  </w:num>
  <w:num w:numId="28">
    <w:abstractNumId w:val="3"/>
  </w:num>
  <w:num w:numId="29">
    <w:abstractNumId w:val="27"/>
  </w:num>
  <w:num w:numId="30">
    <w:abstractNumId w:val="36"/>
  </w:num>
  <w:num w:numId="31">
    <w:abstractNumId w:val="14"/>
  </w:num>
  <w:num w:numId="32">
    <w:abstractNumId w:val="1"/>
  </w:num>
  <w:num w:numId="33">
    <w:abstractNumId w:val="28"/>
  </w:num>
  <w:num w:numId="34">
    <w:abstractNumId w:val="13"/>
  </w:num>
  <w:num w:numId="35">
    <w:abstractNumId w:val="11"/>
  </w:num>
  <w:num w:numId="36">
    <w:abstractNumId w:val="35"/>
  </w:num>
  <w:num w:numId="37">
    <w:abstractNumId w:val="2"/>
  </w:num>
  <w:num w:numId="38">
    <w:abstractNumId w:val="38"/>
  </w:num>
  <w:num w:numId="39">
    <w:abstractNumId w:val="10"/>
  </w:num>
  <w:num w:numId="40">
    <w:abstractNumId w:val="22"/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91">
    <w:name w:val="Heading 1 Char"/>
    <w:basedOn w:val="963"/>
    <w:link w:val="960"/>
    <w:uiPriority w:val="9"/>
    <w:rPr>
      <w:rFonts w:ascii="Arial" w:hAnsi="Arial" w:eastAsia="Arial" w:cs="Arial"/>
      <w:sz w:val="40"/>
      <w:szCs w:val="40"/>
    </w:rPr>
  </w:style>
  <w:style w:type="character" w:styleId="792">
    <w:name w:val="Heading 2 Char"/>
    <w:basedOn w:val="963"/>
    <w:link w:val="961"/>
    <w:uiPriority w:val="9"/>
    <w:rPr>
      <w:rFonts w:ascii="Arial" w:hAnsi="Arial" w:eastAsia="Arial" w:cs="Arial"/>
      <w:sz w:val="34"/>
    </w:rPr>
  </w:style>
  <w:style w:type="character" w:styleId="793">
    <w:name w:val="Heading 3 Char"/>
    <w:basedOn w:val="963"/>
    <w:link w:val="962"/>
    <w:uiPriority w:val="9"/>
    <w:rPr>
      <w:rFonts w:ascii="Arial" w:hAnsi="Arial" w:eastAsia="Arial" w:cs="Arial"/>
      <w:sz w:val="30"/>
      <w:szCs w:val="30"/>
    </w:rPr>
  </w:style>
  <w:style w:type="paragraph" w:styleId="794">
    <w:name w:val="Heading 4"/>
    <w:basedOn w:val="959"/>
    <w:next w:val="959"/>
    <w:link w:val="79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95">
    <w:name w:val="Heading 4 Char"/>
    <w:basedOn w:val="963"/>
    <w:link w:val="794"/>
    <w:uiPriority w:val="9"/>
    <w:rPr>
      <w:rFonts w:ascii="Arial" w:hAnsi="Arial" w:eastAsia="Arial" w:cs="Arial"/>
      <w:b/>
      <w:bCs/>
      <w:sz w:val="26"/>
      <w:szCs w:val="26"/>
    </w:rPr>
  </w:style>
  <w:style w:type="paragraph" w:styleId="796">
    <w:name w:val="Heading 5"/>
    <w:basedOn w:val="959"/>
    <w:next w:val="959"/>
    <w:link w:val="79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97">
    <w:name w:val="Heading 5 Char"/>
    <w:basedOn w:val="963"/>
    <w:link w:val="796"/>
    <w:uiPriority w:val="9"/>
    <w:rPr>
      <w:rFonts w:ascii="Arial" w:hAnsi="Arial" w:eastAsia="Arial" w:cs="Arial"/>
      <w:b/>
      <w:bCs/>
      <w:sz w:val="24"/>
      <w:szCs w:val="24"/>
    </w:rPr>
  </w:style>
  <w:style w:type="paragraph" w:styleId="798">
    <w:name w:val="Heading 6"/>
    <w:basedOn w:val="959"/>
    <w:next w:val="959"/>
    <w:link w:val="79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99">
    <w:name w:val="Heading 6 Char"/>
    <w:basedOn w:val="963"/>
    <w:link w:val="798"/>
    <w:uiPriority w:val="9"/>
    <w:rPr>
      <w:rFonts w:ascii="Arial" w:hAnsi="Arial" w:eastAsia="Arial" w:cs="Arial"/>
      <w:b/>
      <w:bCs/>
      <w:sz w:val="22"/>
      <w:szCs w:val="22"/>
    </w:rPr>
  </w:style>
  <w:style w:type="paragraph" w:styleId="800">
    <w:name w:val="Heading 7"/>
    <w:basedOn w:val="959"/>
    <w:next w:val="959"/>
    <w:link w:val="80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01">
    <w:name w:val="Heading 7 Char"/>
    <w:basedOn w:val="963"/>
    <w:link w:val="80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02">
    <w:name w:val="Heading 8"/>
    <w:basedOn w:val="959"/>
    <w:next w:val="959"/>
    <w:link w:val="80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03">
    <w:name w:val="Heading 8 Char"/>
    <w:basedOn w:val="963"/>
    <w:link w:val="802"/>
    <w:uiPriority w:val="9"/>
    <w:rPr>
      <w:rFonts w:ascii="Arial" w:hAnsi="Arial" w:eastAsia="Arial" w:cs="Arial"/>
      <w:i/>
      <w:iCs/>
      <w:sz w:val="22"/>
      <w:szCs w:val="22"/>
    </w:rPr>
  </w:style>
  <w:style w:type="paragraph" w:styleId="804">
    <w:name w:val="Heading 9"/>
    <w:basedOn w:val="959"/>
    <w:next w:val="959"/>
    <w:link w:val="80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05">
    <w:name w:val="Heading 9 Char"/>
    <w:basedOn w:val="963"/>
    <w:link w:val="804"/>
    <w:uiPriority w:val="9"/>
    <w:rPr>
      <w:rFonts w:ascii="Arial" w:hAnsi="Arial" w:eastAsia="Arial" w:cs="Arial"/>
      <w:i/>
      <w:iCs/>
      <w:sz w:val="21"/>
      <w:szCs w:val="21"/>
    </w:rPr>
  </w:style>
  <w:style w:type="paragraph" w:styleId="806">
    <w:name w:val="No Spacing"/>
    <w:uiPriority w:val="1"/>
    <w:qFormat/>
    <w:pPr>
      <w:spacing w:before="0" w:after="0" w:line="240" w:lineRule="auto"/>
    </w:pPr>
  </w:style>
  <w:style w:type="character" w:styleId="807">
    <w:name w:val="Title Char"/>
    <w:basedOn w:val="963"/>
    <w:link w:val="969"/>
    <w:uiPriority w:val="10"/>
    <w:rPr>
      <w:sz w:val="48"/>
      <w:szCs w:val="48"/>
    </w:rPr>
  </w:style>
  <w:style w:type="paragraph" w:styleId="808">
    <w:name w:val="Subtitle"/>
    <w:basedOn w:val="959"/>
    <w:next w:val="959"/>
    <w:link w:val="809"/>
    <w:uiPriority w:val="11"/>
    <w:qFormat/>
    <w:pPr>
      <w:spacing w:before="200" w:after="200"/>
    </w:pPr>
    <w:rPr>
      <w:sz w:val="24"/>
      <w:szCs w:val="24"/>
    </w:rPr>
  </w:style>
  <w:style w:type="character" w:styleId="809">
    <w:name w:val="Subtitle Char"/>
    <w:basedOn w:val="963"/>
    <w:link w:val="808"/>
    <w:uiPriority w:val="11"/>
    <w:rPr>
      <w:sz w:val="24"/>
      <w:szCs w:val="24"/>
    </w:rPr>
  </w:style>
  <w:style w:type="paragraph" w:styleId="810">
    <w:name w:val="Quote"/>
    <w:basedOn w:val="959"/>
    <w:next w:val="959"/>
    <w:link w:val="811"/>
    <w:uiPriority w:val="29"/>
    <w:qFormat/>
    <w:pPr>
      <w:ind w:left="720" w:right="720"/>
    </w:pPr>
    <w:rPr>
      <w:i/>
    </w:rPr>
  </w:style>
  <w:style w:type="character" w:styleId="811">
    <w:name w:val="Quote Char"/>
    <w:link w:val="810"/>
    <w:uiPriority w:val="29"/>
    <w:rPr>
      <w:i/>
    </w:rPr>
  </w:style>
  <w:style w:type="paragraph" w:styleId="812">
    <w:name w:val="Intense Quote"/>
    <w:basedOn w:val="959"/>
    <w:next w:val="959"/>
    <w:link w:val="81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3">
    <w:name w:val="Intense Quote Char"/>
    <w:link w:val="812"/>
    <w:uiPriority w:val="30"/>
    <w:rPr>
      <w:i/>
    </w:rPr>
  </w:style>
  <w:style w:type="character" w:styleId="814">
    <w:name w:val="Header Char"/>
    <w:basedOn w:val="963"/>
    <w:link w:val="973"/>
    <w:uiPriority w:val="99"/>
  </w:style>
  <w:style w:type="character" w:styleId="815">
    <w:name w:val="Footer Char"/>
    <w:basedOn w:val="963"/>
    <w:link w:val="975"/>
    <w:uiPriority w:val="99"/>
  </w:style>
  <w:style w:type="paragraph" w:styleId="816">
    <w:name w:val="Caption"/>
    <w:basedOn w:val="959"/>
    <w:next w:val="959"/>
    <w:link w:val="8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17">
    <w:name w:val="Caption Char"/>
    <w:basedOn w:val="963"/>
    <w:link w:val="816"/>
    <w:uiPriority w:val="35"/>
    <w:rPr>
      <w:b/>
      <w:bCs/>
      <w:color w:val="4f81bd" w:themeColor="accent1"/>
      <w:sz w:val="18"/>
      <w:szCs w:val="18"/>
    </w:rPr>
  </w:style>
  <w:style w:type="table" w:styleId="818">
    <w:name w:val="Table Grid"/>
    <w:basedOn w:val="96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9">
    <w:name w:val="Table Grid Light"/>
    <w:basedOn w:val="96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0">
    <w:name w:val="Plain Table 1"/>
    <w:basedOn w:val="96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1">
    <w:name w:val="Plain Table 2"/>
    <w:basedOn w:val="96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2">
    <w:name w:val="Plain Table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3">
    <w:name w:val="Plain Table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Plain Table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5">
    <w:name w:val="Grid Table 1 Light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Grid Table 1 Light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Grid Table 1 Light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Grid Table 1 Light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Grid Table 1 Light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Grid Table 1 Light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Grid Table 1 Light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Grid Table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2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2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2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2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2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2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3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3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3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3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3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3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4"/>
    <w:basedOn w:val="9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7">
    <w:name w:val="Grid Table 4 - Accent 1"/>
    <w:basedOn w:val="9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48">
    <w:name w:val="Grid Table 4 - Accent 2"/>
    <w:basedOn w:val="9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49">
    <w:name w:val="Grid Table 4 - Accent 3"/>
    <w:basedOn w:val="9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50">
    <w:name w:val="Grid Table 4 - Accent 4"/>
    <w:basedOn w:val="9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51">
    <w:name w:val="Grid Table 4 - Accent 5"/>
    <w:basedOn w:val="9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52">
    <w:name w:val="Grid Table 4 - Accent 6"/>
    <w:basedOn w:val="9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53">
    <w:name w:val="Grid Table 5 Dark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4">
    <w:name w:val="Grid Table 5 Dark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5">
    <w:name w:val="Grid Table 5 Dark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56">
    <w:name w:val="Grid Table 5 Dark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57">
    <w:name w:val="Grid Table 5 Dark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58">
    <w:name w:val="Grid Table 5 Dark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59">
    <w:name w:val="Grid Table 5 Dark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60">
    <w:name w:val="Grid Table 6 Colorful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61">
    <w:name w:val="Grid Table 6 Colorful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62">
    <w:name w:val="Grid Table 6 Colorful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63">
    <w:name w:val="Grid Table 6 Colorful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64">
    <w:name w:val="Grid Table 6 Colorful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65">
    <w:name w:val="Grid Table 6 Colorful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66">
    <w:name w:val="Grid Table 6 Colorful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67">
    <w:name w:val="Grid Table 7 Colorful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7 Colorful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7 Colorful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7 Colorful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Grid Table 7 Colorful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Grid Table 7 Colorful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Grid Table 7 Colorful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List Table 1 Light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List Table 1 Light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List Table 1 Light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List Table 1 Light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List Table 1 Light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List Table 1 Light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List Table 1 Light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List Table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82">
    <w:name w:val="List Table 2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83">
    <w:name w:val="List Table 2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84">
    <w:name w:val="List Table 2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85">
    <w:name w:val="List Table 2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86">
    <w:name w:val="List Table 2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87">
    <w:name w:val="List Table 2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88">
    <w:name w:val="List Table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3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List Table 3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List Table 3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List Table 3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List Table 3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List Table 3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>
    <w:name w:val="List Table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>
    <w:name w:val="List Table 4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>
    <w:name w:val="List Table 4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>
    <w:name w:val="List Table 4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List Table 4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List Table 4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List Table 4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List Table 5 Dark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3">
    <w:name w:val="List Table 5 Dark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4">
    <w:name w:val="List Table 5 Dark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5">
    <w:name w:val="List Table 5 Dark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6">
    <w:name w:val="List Table 5 Dark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7">
    <w:name w:val="List Table 5 Dark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8">
    <w:name w:val="List Table 5 Dark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9">
    <w:name w:val="List Table 6 Colorful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10">
    <w:name w:val="List Table 6 Colorful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11">
    <w:name w:val="List Table 6 Colorful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12">
    <w:name w:val="List Table 6 Colorful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13">
    <w:name w:val="List Table 6 Colorful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14">
    <w:name w:val="List Table 6 Colorful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15">
    <w:name w:val="List Table 6 Colorful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16">
    <w:name w:val="List Table 7 Colorful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17">
    <w:name w:val="List Table 7 Colorful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18">
    <w:name w:val="List Table 7 Colorful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19">
    <w:name w:val="List Table 7 Colorful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20">
    <w:name w:val="List Table 7 Colorful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21">
    <w:name w:val="List Table 7 Colorful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22">
    <w:name w:val="List Table 7 Colorful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23">
    <w:name w:val="Lined - Accent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4">
    <w:name w:val="Lined - Accent 1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25">
    <w:name w:val="Lined - Accent 2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26">
    <w:name w:val="Lined - Accent 3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27">
    <w:name w:val="Lined - Accent 4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28">
    <w:name w:val="Lined - Accent 5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29">
    <w:name w:val="Lined - Accent 6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30">
    <w:name w:val="Bordered &amp; Lined - Accent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1">
    <w:name w:val="Bordered &amp; Lined - Accent 1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32">
    <w:name w:val="Bordered &amp; Lined - Accent 2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33">
    <w:name w:val="Bordered &amp; Lined - Accent 3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34">
    <w:name w:val="Bordered &amp; Lined - Accent 4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35">
    <w:name w:val="Bordered &amp; Lined - Accent 5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36">
    <w:name w:val="Bordered &amp; Lined - Accent 6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37">
    <w:name w:val="Bordered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38">
    <w:name w:val="Bordered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39">
    <w:name w:val="Bordered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40">
    <w:name w:val="Bordered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41">
    <w:name w:val="Bordered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42">
    <w:name w:val="Bordered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43">
    <w:name w:val="Bordered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44">
    <w:name w:val="Footnote Text Char"/>
    <w:link w:val="985"/>
    <w:uiPriority w:val="99"/>
    <w:rPr>
      <w:sz w:val="18"/>
    </w:rPr>
  </w:style>
  <w:style w:type="paragraph" w:styleId="945">
    <w:name w:val="endnote text"/>
    <w:basedOn w:val="959"/>
    <w:link w:val="946"/>
    <w:uiPriority w:val="99"/>
    <w:semiHidden/>
    <w:unhideWhenUsed/>
    <w:pPr>
      <w:spacing w:after="0" w:line="240" w:lineRule="auto"/>
    </w:pPr>
    <w:rPr>
      <w:sz w:val="20"/>
    </w:rPr>
  </w:style>
  <w:style w:type="character" w:styleId="946">
    <w:name w:val="Endnote Text Char"/>
    <w:link w:val="945"/>
    <w:uiPriority w:val="99"/>
    <w:rPr>
      <w:sz w:val="20"/>
    </w:rPr>
  </w:style>
  <w:style w:type="character" w:styleId="947">
    <w:name w:val="endnote reference"/>
    <w:basedOn w:val="963"/>
    <w:uiPriority w:val="99"/>
    <w:semiHidden/>
    <w:unhideWhenUsed/>
    <w:rPr>
      <w:vertAlign w:val="superscript"/>
    </w:rPr>
  </w:style>
  <w:style w:type="paragraph" w:styleId="948">
    <w:name w:val="toc 1"/>
    <w:basedOn w:val="959"/>
    <w:next w:val="959"/>
    <w:uiPriority w:val="39"/>
    <w:unhideWhenUsed/>
    <w:pPr>
      <w:ind w:left="0" w:right="0" w:firstLine="0"/>
      <w:spacing w:after="57"/>
    </w:pPr>
  </w:style>
  <w:style w:type="paragraph" w:styleId="949">
    <w:name w:val="toc 2"/>
    <w:basedOn w:val="959"/>
    <w:next w:val="959"/>
    <w:uiPriority w:val="39"/>
    <w:unhideWhenUsed/>
    <w:pPr>
      <w:ind w:left="283" w:right="0" w:firstLine="0"/>
      <w:spacing w:after="57"/>
    </w:pPr>
  </w:style>
  <w:style w:type="paragraph" w:styleId="950">
    <w:name w:val="toc 3"/>
    <w:basedOn w:val="959"/>
    <w:next w:val="959"/>
    <w:uiPriority w:val="39"/>
    <w:unhideWhenUsed/>
    <w:pPr>
      <w:ind w:left="567" w:right="0" w:firstLine="0"/>
      <w:spacing w:after="57"/>
    </w:pPr>
  </w:style>
  <w:style w:type="paragraph" w:styleId="951">
    <w:name w:val="toc 4"/>
    <w:basedOn w:val="959"/>
    <w:next w:val="959"/>
    <w:uiPriority w:val="39"/>
    <w:unhideWhenUsed/>
    <w:pPr>
      <w:ind w:left="850" w:right="0" w:firstLine="0"/>
      <w:spacing w:after="57"/>
    </w:pPr>
  </w:style>
  <w:style w:type="paragraph" w:styleId="952">
    <w:name w:val="toc 5"/>
    <w:basedOn w:val="959"/>
    <w:next w:val="959"/>
    <w:uiPriority w:val="39"/>
    <w:unhideWhenUsed/>
    <w:pPr>
      <w:ind w:left="1134" w:right="0" w:firstLine="0"/>
      <w:spacing w:after="57"/>
    </w:pPr>
  </w:style>
  <w:style w:type="paragraph" w:styleId="953">
    <w:name w:val="toc 6"/>
    <w:basedOn w:val="959"/>
    <w:next w:val="959"/>
    <w:uiPriority w:val="39"/>
    <w:unhideWhenUsed/>
    <w:pPr>
      <w:ind w:left="1417" w:right="0" w:firstLine="0"/>
      <w:spacing w:after="57"/>
    </w:pPr>
  </w:style>
  <w:style w:type="paragraph" w:styleId="954">
    <w:name w:val="toc 7"/>
    <w:basedOn w:val="959"/>
    <w:next w:val="959"/>
    <w:uiPriority w:val="39"/>
    <w:unhideWhenUsed/>
    <w:pPr>
      <w:ind w:left="1701" w:right="0" w:firstLine="0"/>
      <w:spacing w:after="57"/>
    </w:pPr>
  </w:style>
  <w:style w:type="paragraph" w:styleId="955">
    <w:name w:val="toc 8"/>
    <w:basedOn w:val="959"/>
    <w:next w:val="959"/>
    <w:uiPriority w:val="39"/>
    <w:unhideWhenUsed/>
    <w:pPr>
      <w:ind w:left="1984" w:right="0" w:firstLine="0"/>
      <w:spacing w:after="57"/>
    </w:pPr>
  </w:style>
  <w:style w:type="paragraph" w:styleId="956">
    <w:name w:val="toc 9"/>
    <w:basedOn w:val="959"/>
    <w:next w:val="959"/>
    <w:uiPriority w:val="39"/>
    <w:unhideWhenUsed/>
    <w:pPr>
      <w:ind w:left="2268" w:right="0" w:firstLine="0"/>
      <w:spacing w:after="57"/>
    </w:pPr>
  </w:style>
  <w:style w:type="paragraph" w:styleId="957">
    <w:name w:val="TOC Heading"/>
    <w:uiPriority w:val="39"/>
    <w:unhideWhenUsed/>
  </w:style>
  <w:style w:type="paragraph" w:styleId="958">
    <w:name w:val="table of figures"/>
    <w:basedOn w:val="959"/>
    <w:next w:val="959"/>
    <w:uiPriority w:val="99"/>
    <w:unhideWhenUsed/>
    <w:pPr>
      <w:spacing w:after="0" w:afterAutospacing="0"/>
    </w:pPr>
  </w:style>
  <w:style w:type="paragraph" w:styleId="959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0">
    <w:name w:val="Heading 1"/>
    <w:basedOn w:val="959"/>
    <w:next w:val="959"/>
    <w:link w:val="966"/>
    <w:qFormat/>
    <w:pPr>
      <w:jc w:val="center"/>
      <w:keepNext/>
      <w:spacing w:line="360" w:lineRule="auto"/>
      <w:outlineLvl w:val="0"/>
    </w:pPr>
    <w:rPr>
      <w:rFonts w:ascii="Tahoma" w:hAnsi="Tahoma"/>
      <w:b/>
      <w:sz w:val="28"/>
      <w:szCs w:val="20"/>
    </w:rPr>
  </w:style>
  <w:style w:type="paragraph" w:styleId="961">
    <w:name w:val="Heading 2"/>
    <w:basedOn w:val="959"/>
    <w:next w:val="959"/>
    <w:link w:val="967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962">
    <w:name w:val="Heading 3"/>
    <w:basedOn w:val="959"/>
    <w:next w:val="959"/>
    <w:link w:val="968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styleId="963" w:default="1">
    <w:name w:val="Default Paragraph Font"/>
    <w:uiPriority w:val="1"/>
    <w:semiHidden/>
    <w:unhideWhenUsed/>
  </w:style>
  <w:style w:type="table" w:styleId="96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65" w:default="1">
    <w:name w:val="No List"/>
    <w:uiPriority w:val="99"/>
    <w:semiHidden/>
    <w:unhideWhenUsed/>
  </w:style>
  <w:style w:type="character" w:styleId="966" w:customStyle="1">
    <w:name w:val="Заголовок 1 Знак"/>
    <w:basedOn w:val="963"/>
    <w:link w:val="960"/>
    <w:rPr>
      <w:rFonts w:ascii="Tahoma" w:hAnsi="Tahoma" w:eastAsia="Times New Roman" w:cs="Times New Roman"/>
      <w:b/>
      <w:sz w:val="28"/>
      <w:szCs w:val="20"/>
      <w:lang w:eastAsia="ru-RU"/>
    </w:rPr>
  </w:style>
  <w:style w:type="character" w:styleId="967" w:customStyle="1">
    <w:name w:val="Заголовок 2 Знак"/>
    <w:basedOn w:val="963"/>
    <w:link w:val="961"/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character" w:styleId="968" w:customStyle="1">
    <w:name w:val="Заголовок 3 Знак"/>
    <w:basedOn w:val="963"/>
    <w:link w:val="962"/>
    <w:semiHidden/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paragraph" w:styleId="969">
    <w:name w:val="Title"/>
    <w:basedOn w:val="959"/>
    <w:link w:val="970"/>
    <w:qFormat/>
    <w:pPr>
      <w:jc w:val="center"/>
    </w:pPr>
    <w:rPr>
      <w:sz w:val="28"/>
    </w:rPr>
  </w:style>
  <w:style w:type="character" w:styleId="970" w:customStyle="1">
    <w:name w:val="Название Знак"/>
    <w:basedOn w:val="963"/>
    <w:link w:val="969"/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971">
    <w:name w:val="Body Text"/>
    <w:basedOn w:val="959"/>
    <w:link w:val="972"/>
    <w:pPr>
      <w:jc w:val="both"/>
    </w:pPr>
    <w:rPr>
      <w:sz w:val="28"/>
    </w:rPr>
  </w:style>
  <w:style w:type="character" w:styleId="972" w:customStyle="1">
    <w:name w:val="Основной текст Знак"/>
    <w:basedOn w:val="963"/>
    <w:link w:val="971"/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973">
    <w:name w:val="Header"/>
    <w:basedOn w:val="959"/>
    <w:link w:val="974"/>
    <w:pPr>
      <w:tabs>
        <w:tab w:val="center" w:pos="4677" w:leader="none"/>
        <w:tab w:val="right" w:pos="9355" w:leader="none"/>
      </w:tabs>
    </w:pPr>
  </w:style>
  <w:style w:type="character" w:styleId="974" w:customStyle="1">
    <w:name w:val="Верхний колонтитул Знак"/>
    <w:basedOn w:val="963"/>
    <w:link w:val="973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5">
    <w:name w:val="Footer"/>
    <w:basedOn w:val="959"/>
    <w:link w:val="976"/>
    <w:uiPriority w:val="99"/>
    <w:pPr>
      <w:tabs>
        <w:tab w:val="center" w:pos="4677" w:leader="none"/>
        <w:tab w:val="right" w:pos="9355" w:leader="none"/>
      </w:tabs>
    </w:pPr>
  </w:style>
  <w:style w:type="character" w:styleId="976" w:customStyle="1">
    <w:name w:val="Нижний колонтитул Знак"/>
    <w:basedOn w:val="963"/>
    <w:link w:val="97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7">
    <w:name w:val="Balloon Text"/>
    <w:basedOn w:val="959"/>
    <w:link w:val="978"/>
    <w:semiHidden/>
    <w:rPr>
      <w:rFonts w:ascii="Tahoma" w:hAnsi="Tahoma" w:cs="Tahoma"/>
      <w:sz w:val="16"/>
      <w:szCs w:val="16"/>
    </w:rPr>
  </w:style>
  <w:style w:type="character" w:styleId="978" w:customStyle="1">
    <w:name w:val="Текст выноски Знак"/>
    <w:basedOn w:val="963"/>
    <w:link w:val="977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979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980">
    <w:name w:val="page number"/>
    <w:basedOn w:val="963"/>
  </w:style>
  <w:style w:type="paragraph" w:styleId="981" w:customStyle="1">
    <w:name w:val="ConsPlusNormal"/>
    <w:link w:val="1002"/>
    <w:pPr>
      <w:ind w:firstLine="720"/>
      <w:spacing w:after="0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paragraph" w:styleId="982">
    <w:name w:val="Normal (Web)"/>
    <w:basedOn w:val="959"/>
    <w:pPr>
      <w:spacing w:before="100" w:beforeAutospacing="1" w:after="100" w:afterAutospacing="1"/>
    </w:pPr>
    <w:rPr>
      <w:rFonts w:ascii="Verdana" w:hAnsi="Verdana"/>
      <w:color w:val="333366"/>
      <w:sz w:val="12"/>
      <w:szCs w:val="12"/>
    </w:rPr>
  </w:style>
  <w:style w:type="character" w:styleId="983">
    <w:name w:val="Strong"/>
    <w:qFormat/>
    <w:rPr>
      <w:b/>
      <w:bCs/>
    </w:rPr>
  </w:style>
  <w:style w:type="paragraph" w:styleId="984" w:customStyle="1">
    <w:name w:val="consplusnormal0"/>
    <w:basedOn w:val="959"/>
    <w:pPr>
      <w:ind w:firstLine="120"/>
      <w:spacing w:before="100" w:after="100"/>
    </w:pPr>
    <w:rPr>
      <w:rFonts w:ascii="Verdana" w:hAnsi="Verdana"/>
    </w:rPr>
  </w:style>
  <w:style w:type="paragraph" w:styleId="985">
    <w:name w:val="footnote text"/>
    <w:basedOn w:val="959"/>
    <w:link w:val="986"/>
    <w:uiPriority w:val="99"/>
    <w:unhideWhenUsed/>
    <w:pPr>
      <w:ind w:firstLine="720"/>
      <w:jc w:val="both"/>
      <w:widowControl w:val="off"/>
    </w:pPr>
    <w:rPr>
      <w:rFonts w:ascii="Arial" w:hAnsi="Arial"/>
      <w:sz w:val="20"/>
      <w:szCs w:val="20"/>
    </w:rPr>
  </w:style>
  <w:style w:type="character" w:styleId="986" w:customStyle="1">
    <w:name w:val="Текст сноски Знак"/>
    <w:basedOn w:val="963"/>
    <w:link w:val="985"/>
    <w:uiPriority w:val="99"/>
    <w:rPr>
      <w:rFonts w:ascii="Arial" w:hAnsi="Arial" w:eastAsia="Times New Roman" w:cs="Times New Roman"/>
      <w:sz w:val="20"/>
      <w:szCs w:val="20"/>
      <w:lang w:eastAsia="ru-RU"/>
    </w:rPr>
  </w:style>
  <w:style w:type="character" w:styleId="987">
    <w:name w:val="footnote reference"/>
    <w:uiPriority w:val="99"/>
    <w:unhideWhenUsed/>
    <w:rPr>
      <w:rFonts w:cs="Times New Roman"/>
      <w:vertAlign w:val="superscript"/>
    </w:rPr>
  </w:style>
  <w:style w:type="character" w:styleId="988">
    <w:name w:val="annotation reference"/>
    <w:rPr>
      <w:sz w:val="16"/>
      <w:szCs w:val="16"/>
    </w:rPr>
  </w:style>
  <w:style w:type="paragraph" w:styleId="989">
    <w:name w:val="annotation text"/>
    <w:basedOn w:val="959"/>
    <w:link w:val="990"/>
    <w:uiPriority w:val="99"/>
    <w:rPr>
      <w:sz w:val="20"/>
      <w:szCs w:val="20"/>
    </w:rPr>
  </w:style>
  <w:style w:type="character" w:styleId="990" w:customStyle="1">
    <w:name w:val="Текст примечания Знак"/>
    <w:basedOn w:val="963"/>
    <w:link w:val="989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91">
    <w:name w:val="annotation subject"/>
    <w:basedOn w:val="989"/>
    <w:next w:val="989"/>
    <w:link w:val="992"/>
    <w:rPr>
      <w:b/>
      <w:bCs/>
    </w:rPr>
  </w:style>
  <w:style w:type="character" w:styleId="992" w:customStyle="1">
    <w:name w:val="Тема примечания Знак"/>
    <w:basedOn w:val="990"/>
    <w:link w:val="991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993">
    <w:name w:val="Hyperlink"/>
    <w:rPr>
      <w:color w:val="0000ff"/>
      <w:u w:val="single"/>
    </w:rPr>
  </w:style>
  <w:style w:type="paragraph" w:styleId="994" w:customStyle="1">
    <w:name w:val="normd"/>
    <w:basedOn w:val="959"/>
    <w:pPr>
      <w:spacing w:before="100" w:beforeAutospacing="1" w:after="100" w:afterAutospacing="1"/>
    </w:pPr>
  </w:style>
  <w:style w:type="paragraph" w:styleId="995">
    <w:name w:val="HTML Preformatted"/>
    <w:basedOn w:val="959"/>
    <w:link w:val="996"/>
    <w:uiPriority w:val="99"/>
    <w:unhideWhenUsed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</w:rPr>
  </w:style>
  <w:style w:type="character" w:styleId="996" w:customStyle="1">
    <w:name w:val="Стандартный HTML Знак"/>
    <w:basedOn w:val="963"/>
    <w:link w:val="995"/>
    <w:uiPriority w:val="99"/>
    <w:rPr>
      <w:rFonts w:ascii="Courier New" w:hAnsi="Courier New" w:eastAsia="Times New Roman" w:cs="Courier New"/>
      <w:sz w:val="20"/>
      <w:szCs w:val="20"/>
      <w:lang w:eastAsia="ru-RU"/>
    </w:rPr>
  </w:style>
  <w:style w:type="paragraph" w:styleId="997">
    <w:name w:val="List Paragraph"/>
    <w:basedOn w:val="959"/>
    <w:qFormat/>
    <w:pPr>
      <w:contextualSpacing/>
      <w:ind w:left="720"/>
      <w:spacing w:after="200" w:line="276" w:lineRule="auto"/>
    </w:pPr>
    <w:rPr>
      <w:rFonts w:ascii="Calibri" w:hAnsi="Calibri"/>
      <w:sz w:val="22"/>
      <w:szCs w:val="22"/>
    </w:rPr>
  </w:style>
  <w:style w:type="character" w:styleId="998" w:customStyle="1">
    <w:name w:val="Основной текст_"/>
    <w:link w:val="999"/>
    <w:rPr>
      <w:spacing w:val="1"/>
      <w:sz w:val="27"/>
      <w:szCs w:val="27"/>
      <w:shd w:val="clear" w:color="auto" w:fill="ffffff"/>
    </w:rPr>
  </w:style>
  <w:style w:type="paragraph" w:styleId="999" w:customStyle="1">
    <w:name w:val="Основной текст1"/>
    <w:basedOn w:val="959"/>
    <w:link w:val="998"/>
    <w:pPr>
      <w:jc w:val="both"/>
      <w:spacing w:after="720" w:line="0" w:lineRule="atLeast"/>
      <w:shd w:val="clear" w:color="auto" w:fill="ffffff"/>
      <w:widowControl w:val="off"/>
    </w:pPr>
    <w:rPr>
      <w:rFonts w:asciiTheme="minorHAnsi" w:hAnsiTheme="minorHAnsi" w:eastAsiaTheme="minorHAnsi" w:cstheme="minorBidi"/>
      <w:spacing w:val="1"/>
      <w:sz w:val="27"/>
      <w:szCs w:val="27"/>
      <w:lang w:eastAsia="en-US"/>
    </w:rPr>
  </w:style>
  <w:style w:type="paragraph" w:styleId="1000" w:customStyle="1">
    <w:name w:val="ConsPlusTitle"/>
    <w:pPr>
      <w:spacing w:after="0" w:line="240" w:lineRule="auto"/>
      <w:widowControl w:val="off"/>
    </w:pPr>
    <w:rPr>
      <w:rFonts w:ascii="Arial" w:hAnsi="Arial" w:eastAsia="Times New Roman" w:cs="Arial"/>
      <w:b/>
      <w:bCs/>
      <w:sz w:val="20"/>
      <w:szCs w:val="20"/>
      <w:lang w:eastAsia="ru-RU"/>
    </w:rPr>
  </w:style>
  <w:style w:type="paragraph" w:styleId="1001" w:customStyle="1">
    <w:name w:val="Название проектного документа"/>
    <w:basedOn w:val="959"/>
    <w:pPr>
      <w:ind w:left="1701"/>
      <w:jc w:val="center"/>
      <w:widowControl w:val="off"/>
    </w:pPr>
    <w:rPr>
      <w:rFonts w:ascii="Arial" w:hAnsi="Arial" w:cs="Arial"/>
      <w:b/>
      <w:bCs/>
      <w:color w:val="000080"/>
      <w:sz w:val="32"/>
      <w:szCs w:val="20"/>
    </w:rPr>
  </w:style>
  <w:style w:type="character" w:styleId="1002" w:customStyle="1">
    <w:name w:val="ConsPlusNormal Знак"/>
    <w:link w:val="981"/>
    <w:rPr>
      <w:rFonts w:ascii="Arial" w:hAnsi="Arial" w:eastAsia="Times New Roman" w:cs="Arial"/>
      <w:sz w:val="20"/>
      <w:szCs w:val="20"/>
      <w:lang w:eastAsia="ru-RU"/>
    </w:rPr>
  </w:style>
  <w:style w:type="paragraph" w:styleId="1003" w:customStyle="1">
    <w:name w:val="Standard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20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Times New Roman" w:cs="Calibri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2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customXml" Target="../customXml/item1.xml" /><Relationship Id="rId13" Type="http://schemas.openxmlformats.org/officeDocument/2006/relationships/hyperlink" Target="https://docs.cntd.ru/document/901966282#7DM0K8" TargetMode="External"/><Relationship Id="rId14" Type="http://schemas.openxmlformats.org/officeDocument/2006/relationships/hyperlink" Target="https://login.consultant.ru/link/?req=doc&amp;base=SPB&amp;n=316702&amp;dst=101254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61681-BAB7-47CA-82C5-45BD70459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naa_orlova</cp:lastModifiedBy>
  <cp:revision>17</cp:revision>
  <dcterms:created xsi:type="dcterms:W3CDTF">2026-03-02T07:28:00Z</dcterms:created>
  <dcterms:modified xsi:type="dcterms:W3CDTF">2026-07-31T09:27:04Z</dcterms:modified>
</cp:coreProperties>
</file>